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0BD02" w14:textId="4AA1B858" w:rsidR="0061619E" w:rsidRPr="0061619E" w:rsidRDefault="0061619E" w:rsidP="0061619E">
      <w:pPr>
        <w:spacing w:after="0" w:line="240" w:lineRule="auto"/>
        <w:jc w:val="center"/>
        <w:rPr>
          <w:rFonts w:cs="Times New Roman"/>
          <w:b/>
          <w:szCs w:val="24"/>
        </w:rPr>
      </w:pPr>
      <w:r w:rsidRPr="0061619E">
        <w:rPr>
          <w:rFonts w:cs="Times New Roman"/>
          <w:b/>
          <w:szCs w:val="24"/>
        </w:rPr>
        <w:t>SOAH DOCKET NO. 473-21-0247</w:t>
      </w:r>
    </w:p>
    <w:p w14:paraId="33CFCC7F" w14:textId="77777777" w:rsidR="0061619E" w:rsidRPr="0061619E" w:rsidRDefault="0061619E" w:rsidP="0061619E">
      <w:pPr>
        <w:spacing w:after="0" w:line="240" w:lineRule="auto"/>
        <w:jc w:val="center"/>
        <w:rPr>
          <w:rFonts w:cs="Times New Roman"/>
          <w:b/>
          <w:szCs w:val="24"/>
        </w:rPr>
      </w:pPr>
      <w:r w:rsidRPr="0061619E">
        <w:rPr>
          <w:rFonts w:cs="Times New Roman"/>
          <w:b/>
          <w:szCs w:val="24"/>
        </w:rPr>
        <w:t>PUC DOCKET NO. 51023</w:t>
      </w:r>
    </w:p>
    <w:p w14:paraId="45E4E4A6" w14:textId="77777777" w:rsidR="0061619E" w:rsidRPr="0061619E" w:rsidRDefault="0061619E" w:rsidP="0061619E">
      <w:pPr>
        <w:spacing w:after="0" w:line="240" w:lineRule="auto"/>
        <w:jc w:val="center"/>
        <w:rPr>
          <w:rFonts w:cs="Times New Roman"/>
          <w:b/>
          <w:szCs w:val="24"/>
        </w:rPr>
      </w:pPr>
    </w:p>
    <w:tbl>
      <w:tblPr>
        <w:tblStyle w:val="TableGrid"/>
        <w:tblW w:w="9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040"/>
        <w:gridCol w:w="360"/>
        <w:gridCol w:w="4308"/>
      </w:tblGrid>
      <w:tr w:rsidR="0061619E" w:rsidRPr="0061619E" w14:paraId="21E6DC03" w14:textId="77777777" w:rsidTr="009E5BEB">
        <w:trPr>
          <w:trHeight w:val="2052"/>
        </w:trPr>
        <w:tc>
          <w:tcPr>
            <w:tcW w:w="5040" w:type="dxa"/>
          </w:tcPr>
          <w:p w14:paraId="79249D33" w14:textId="77777777" w:rsidR="0061619E" w:rsidRPr="0061619E" w:rsidRDefault="0061619E" w:rsidP="0061619E">
            <w:pPr>
              <w:rPr>
                <w:b/>
                <w:szCs w:val="24"/>
              </w:rPr>
            </w:pPr>
            <w:r w:rsidRPr="0061619E">
              <w:rPr>
                <w:b/>
                <w:szCs w:val="24"/>
              </w:rPr>
              <w:t xml:space="preserve">APPLICATION OF THE CITY OF SAN ANTONIO ACTING BY AND THROUGH THE CITY PUBLIC SERVICE BOARD (CPS ENERGY) TO AMEND ITS CERTIFICATE OF CONVENIENCE AND NECESSITY FOR THE PROPOSED SCENIC LOOP 138-KV TRANSMISSION LINE </w:t>
            </w:r>
          </w:p>
        </w:tc>
        <w:tc>
          <w:tcPr>
            <w:tcW w:w="360" w:type="dxa"/>
            <w:hideMark/>
          </w:tcPr>
          <w:p w14:paraId="0CAFB91F" w14:textId="77777777" w:rsidR="0061619E" w:rsidRPr="0061619E" w:rsidRDefault="0061619E" w:rsidP="0061619E">
            <w:pPr>
              <w:jc w:val="center"/>
              <w:rPr>
                <w:b/>
                <w:szCs w:val="24"/>
              </w:rPr>
            </w:pPr>
            <w:r w:rsidRPr="0061619E">
              <w:rPr>
                <w:b/>
                <w:szCs w:val="24"/>
              </w:rPr>
              <w:t>§</w:t>
            </w:r>
          </w:p>
          <w:p w14:paraId="4C5D9D06" w14:textId="77777777" w:rsidR="0061619E" w:rsidRPr="0061619E" w:rsidRDefault="0061619E" w:rsidP="0061619E">
            <w:pPr>
              <w:jc w:val="center"/>
              <w:rPr>
                <w:b/>
                <w:szCs w:val="24"/>
              </w:rPr>
            </w:pPr>
            <w:r w:rsidRPr="0061619E">
              <w:rPr>
                <w:b/>
                <w:szCs w:val="24"/>
              </w:rPr>
              <w:t>§</w:t>
            </w:r>
          </w:p>
          <w:p w14:paraId="3E5DC2F3" w14:textId="77777777" w:rsidR="0061619E" w:rsidRPr="0061619E" w:rsidRDefault="0061619E" w:rsidP="0061619E">
            <w:pPr>
              <w:jc w:val="center"/>
              <w:rPr>
                <w:b/>
                <w:szCs w:val="24"/>
              </w:rPr>
            </w:pPr>
            <w:r w:rsidRPr="0061619E">
              <w:rPr>
                <w:b/>
                <w:szCs w:val="24"/>
              </w:rPr>
              <w:t>§</w:t>
            </w:r>
          </w:p>
          <w:p w14:paraId="2E0CC0F7" w14:textId="77777777" w:rsidR="0061619E" w:rsidRPr="0061619E" w:rsidRDefault="0061619E" w:rsidP="0061619E">
            <w:pPr>
              <w:jc w:val="center"/>
              <w:rPr>
                <w:b/>
                <w:szCs w:val="24"/>
              </w:rPr>
            </w:pPr>
            <w:r w:rsidRPr="0061619E">
              <w:rPr>
                <w:b/>
                <w:szCs w:val="24"/>
              </w:rPr>
              <w:t>§</w:t>
            </w:r>
          </w:p>
          <w:p w14:paraId="3A5391A8" w14:textId="77777777" w:rsidR="0061619E" w:rsidRPr="0061619E" w:rsidRDefault="0061619E" w:rsidP="0061619E">
            <w:pPr>
              <w:jc w:val="center"/>
              <w:rPr>
                <w:b/>
                <w:szCs w:val="24"/>
              </w:rPr>
            </w:pPr>
            <w:r w:rsidRPr="0061619E">
              <w:rPr>
                <w:b/>
                <w:szCs w:val="24"/>
              </w:rPr>
              <w:t>§</w:t>
            </w:r>
          </w:p>
          <w:p w14:paraId="3307B046" w14:textId="77777777" w:rsidR="0061619E" w:rsidRPr="0061619E" w:rsidRDefault="0061619E" w:rsidP="0061619E">
            <w:pPr>
              <w:jc w:val="center"/>
              <w:rPr>
                <w:b/>
                <w:szCs w:val="24"/>
              </w:rPr>
            </w:pPr>
            <w:r w:rsidRPr="0061619E">
              <w:rPr>
                <w:b/>
                <w:szCs w:val="24"/>
              </w:rPr>
              <w:t>§</w:t>
            </w:r>
          </w:p>
          <w:p w14:paraId="77D98F35" w14:textId="0850F990" w:rsidR="0061619E" w:rsidRPr="0061619E" w:rsidRDefault="0061619E" w:rsidP="00AC545B">
            <w:pPr>
              <w:jc w:val="center"/>
              <w:rPr>
                <w:b/>
                <w:szCs w:val="24"/>
              </w:rPr>
            </w:pPr>
            <w:r w:rsidRPr="0061619E">
              <w:rPr>
                <w:b/>
                <w:szCs w:val="24"/>
              </w:rPr>
              <w:t>§</w:t>
            </w:r>
          </w:p>
        </w:tc>
        <w:tc>
          <w:tcPr>
            <w:tcW w:w="4308" w:type="dxa"/>
            <w:hideMark/>
          </w:tcPr>
          <w:p w14:paraId="7057ED38" w14:textId="77777777" w:rsidR="0061619E" w:rsidRPr="0061619E" w:rsidRDefault="0061619E" w:rsidP="0061619E">
            <w:pPr>
              <w:jc w:val="center"/>
              <w:rPr>
                <w:b/>
                <w:szCs w:val="24"/>
              </w:rPr>
            </w:pPr>
            <w:r w:rsidRPr="0061619E">
              <w:rPr>
                <w:b/>
                <w:szCs w:val="24"/>
              </w:rPr>
              <w:t>BEFORE THE STATE OFFICE</w:t>
            </w:r>
          </w:p>
          <w:p w14:paraId="78347F0B" w14:textId="77777777" w:rsidR="0061619E" w:rsidRPr="0061619E" w:rsidRDefault="0061619E" w:rsidP="0061619E">
            <w:pPr>
              <w:jc w:val="center"/>
              <w:rPr>
                <w:b/>
                <w:szCs w:val="24"/>
              </w:rPr>
            </w:pPr>
          </w:p>
          <w:p w14:paraId="77F65D1E" w14:textId="77777777" w:rsidR="0061619E" w:rsidRPr="0061619E" w:rsidRDefault="0061619E" w:rsidP="0061619E">
            <w:pPr>
              <w:jc w:val="center"/>
              <w:rPr>
                <w:b/>
                <w:szCs w:val="24"/>
              </w:rPr>
            </w:pPr>
          </w:p>
          <w:p w14:paraId="7CB2A18D" w14:textId="77777777" w:rsidR="0061619E" w:rsidRPr="0061619E" w:rsidRDefault="0061619E" w:rsidP="0061619E">
            <w:pPr>
              <w:jc w:val="center"/>
              <w:rPr>
                <w:b/>
                <w:szCs w:val="24"/>
              </w:rPr>
            </w:pPr>
            <w:r w:rsidRPr="0061619E">
              <w:rPr>
                <w:b/>
                <w:szCs w:val="24"/>
              </w:rPr>
              <w:t>OF</w:t>
            </w:r>
          </w:p>
          <w:p w14:paraId="6BEC9D26" w14:textId="77777777" w:rsidR="0061619E" w:rsidRPr="0061619E" w:rsidRDefault="0061619E" w:rsidP="0061619E">
            <w:pPr>
              <w:jc w:val="center"/>
              <w:rPr>
                <w:b/>
                <w:szCs w:val="24"/>
              </w:rPr>
            </w:pPr>
          </w:p>
          <w:p w14:paraId="6F55AF9E" w14:textId="77777777" w:rsidR="0061619E" w:rsidRPr="0061619E" w:rsidRDefault="0061619E" w:rsidP="0061619E">
            <w:pPr>
              <w:jc w:val="center"/>
              <w:rPr>
                <w:b/>
                <w:szCs w:val="24"/>
              </w:rPr>
            </w:pPr>
          </w:p>
          <w:p w14:paraId="453F2122" w14:textId="77777777" w:rsidR="0061619E" w:rsidRPr="0061619E" w:rsidRDefault="0061619E" w:rsidP="0061619E">
            <w:pPr>
              <w:jc w:val="center"/>
              <w:rPr>
                <w:b/>
                <w:szCs w:val="24"/>
              </w:rPr>
            </w:pPr>
            <w:r w:rsidRPr="0061619E">
              <w:rPr>
                <w:b/>
                <w:szCs w:val="24"/>
              </w:rPr>
              <w:t>ADMINISTRATIVE HEARINGS</w:t>
            </w:r>
          </w:p>
        </w:tc>
      </w:tr>
    </w:tbl>
    <w:p w14:paraId="543E9DDE" w14:textId="30427408" w:rsidR="0061619E" w:rsidRDefault="0061619E" w:rsidP="0061619E">
      <w:pPr>
        <w:spacing w:after="0" w:line="240" w:lineRule="auto"/>
        <w:rPr>
          <w:rFonts w:cs="Times New Roman"/>
          <w:szCs w:val="24"/>
        </w:rPr>
      </w:pPr>
    </w:p>
    <w:p w14:paraId="40A9E781" w14:textId="77777777" w:rsidR="00BA7DEC" w:rsidRPr="00BA7DEC" w:rsidRDefault="00BA7DEC" w:rsidP="00BA7DEC">
      <w:pPr>
        <w:spacing w:after="0" w:line="240" w:lineRule="auto"/>
        <w:jc w:val="center"/>
        <w:rPr>
          <w:rFonts w:cs="Times New Roman"/>
          <w:szCs w:val="24"/>
        </w:rPr>
      </w:pPr>
      <w:r w:rsidRPr="00BA7DEC">
        <w:rPr>
          <w:rFonts w:cs="Times New Roman"/>
          <w:b/>
          <w:bCs/>
          <w:szCs w:val="24"/>
        </w:rPr>
        <w:t>ANAQUA SPRINGS HOMEOWNERS’ ASSOCIATION</w:t>
      </w:r>
    </w:p>
    <w:p w14:paraId="09AC8510" w14:textId="6ED43305" w:rsidR="00AC545B" w:rsidRPr="00BA7DEC" w:rsidRDefault="00AC545B" w:rsidP="00AC545B">
      <w:pPr>
        <w:spacing w:after="0" w:line="240" w:lineRule="auto"/>
        <w:jc w:val="center"/>
        <w:rPr>
          <w:rFonts w:cs="Times New Roman"/>
          <w:b/>
          <w:bCs/>
          <w:szCs w:val="24"/>
          <w:u w:val="single"/>
        </w:rPr>
      </w:pPr>
      <w:r w:rsidRPr="00BA7DEC">
        <w:rPr>
          <w:rFonts w:cs="Times New Roman"/>
          <w:b/>
          <w:bCs/>
          <w:szCs w:val="24"/>
          <w:u w:val="single"/>
        </w:rPr>
        <w:t>INITIAL POST-HEARING BRIEF</w:t>
      </w:r>
    </w:p>
    <w:p w14:paraId="66534A16" w14:textId="7825A7E8" w:rsidR="00AC545B" w:rsidRDefault="00AC545B" w:rsidP="00AC545B">
      <w:pPr>
        <w:spacing w:after="0" w:line="240" w:lineRule="auto"/>
        <w:rPr>
          <w:rFonts w:cs="Times New Roman"/>
          <w:szCs w:val="24"/>
        </w:rPr>
      </w:pPr>
    </w:p>
    <w:p w14:paraId="1B398633" w14:textId="77777777" w:rsidR="007B25CD" w:rsidRDefault="007B25CD" w:rsidP="00AC545B">
      <w:pPr>
        <w:spacing w:after="0" w:line="240" w:lineRule="auto"/>
        <w:rPr>
          <w:rFonts w:cs="Times New Roman"/>
          <w:szCs w:val="24"/>
        </w:rPr>
      </w:pPr>
    </w:p>
    <w:p w14:paraId="5BDA9AA3" w14:textId="5DB64B10" w:rsidR="007B25CD" w:rsidRDefault="007B25CD" w:rsidP="007B25CD">
      <w:pPr>
        <w:jc w:val="center"/>
        <w:rPr>
          <w:rFonts w:cs="Times New Roman"/>
          <w:b/>
          <w:bCs/>
          <w:szCs w:val="24"/>
        </w:rPr>
      </w:pPr>
      <w:r w:rsidRPr="007B25CD">
        <w:rPr>
          <w:rFonts w:cs="Times New Roman"/>
          <w:b/>
          <w:bCs/>
          <w:szCs w:val="24"/>
        </w:rPr>
        <w:t>TABLE OF CONTENTS</w:t>
      </w:r>
    </w:p>
    <w:sdt>
      <w:sdtPr>
        <w:rPr>
          <w:rFonts w:eastAsiaTheme="minorHAnsi"/>
          <w:noProof w:val="0"/>
        </w:rPr>
        <w:id w:val="-1235241903"/>
        <w:docPartObj>
          <w:docPartGallery w:val="Table of Contents"/>
          <w:docPartUnique/>
        </w:docPartObj>
      </w:sdtPr>
      <w:sdtEndPr>
        <w:rPr>
          <w:b/>
          <w:bCs/>
        </w:rPr>
      </w:sdtEndPr>
      <w:sdtContent>
        <w:p w14:paraId="52CE97C5" w14:textId="203999AD" w:rsidR="00627BA3" w:rsidRDefault="00C76A5F">
          <w:pPr>
            <w:pStyle w:val="TOC1"/>
            <w:rPr>
              <w:rFonts w:asciiTheme="minorHAnsi" w:hAnsiTheme="minorHAnsi"/>
              <w:sz w:val="22"/>
            </w:rPr>
          </w:pPr>
          <w:r>
            <w:fldChar w:fldCharType="begin"/>
          </w:r>
          <w:r>
            <w:instrText xml:space="preserve"> TOC \o "1-4" \h \z \u </w:instrText>
          </w:r>
          <w:r>
            <w:fldChar w:fldCharType="separate"/>
          </w:r>
          <w:hyperlink w:anchor="_Toc72496196" w:history="1">
            <w:r w:rsidR="00627BA3" w:rsidRPr="00740B82">
              <w:rPr>
                <w:rStyle w:val="Hyperlink"/>
              </w:rPr>
              <w:t>I.</w:t>
            </w:r>
            <w:r w:rsidR="00627BA3">
              <w:rPr>
                <w:rFonts w:asciiTheme="minorHAnsi" w:hAnsiTheme="minorHAnsi"/>
                <w:sz w:val="22"/>
              </w:rPr>
              <w:tab/>
            </w:r>
            <w:r w:rsidR="00627BA3" w:rsidRPr="00740B82">
              <w:rPr>
                <w:rStyle w:val="Hyperlink"/>
              </w:rPr>
              <w:t>INTRODUCTION</w:t>
            </w:r>
            <w:r w:rsidR="00627BA3">
              <w:rPr>
                <w:webHidden/>
              </w:rPr>
              <w:tab/>
            </w:r>
            <w:r w:rsidR="00627BA3">
              <w:rPr>
                <w:webHidden/>
              </w:rPr>
              <w:fldChar w:fldCharType="begin"/>
            </w:r>
            <w:r w:rsidR="00627BA3">
              <w:rPr>
                <w:webHidden/>
              </w:rPr>
              <w:instrText xml:space="preserve"> PAGEREF _Toc72496196 \h </w:instrText>
            </w:r>
            <w:r w:rsidR="00627BA3">
              <w:rPr>
                <w:webHidden/>
              </w:rPr>
            </w:r>
            <w:r w:rsidR="00627BA3">
              <w:rPr>
                <w:webHidden/>
              </w:rPr>
              <w:fldChar w:fldCharType="separate"/>
            </w:r>
            <w:r w:rsidR="00627BA3">
              <w:rPr>
                <w:webHidden/>
              </w:rPr>
              <w:t>3</w:t>
            </w:r>
            <w:r w:rsidR="00627BA3">
              <w:rPr>
                <w:webHidden/>
              </w:rPr>
              <w:fldChar w:fldCharType="end"/>
            </w:r>
          </w:hyperlink>
        </w:p>
        <w:p w14:paraId="5AA13203" w14:textId="5E104253" w:rsidR="00627BA3" w:rsidRDefault="00DD2680">
          <w:pPr>
            <w:pStyle w:val="TOC1"/>
            <w:rPr>
              <w:rFonts w:asciiTheme="minorHAnsi" w:hAnsiTheme="minorHAnsi"/>
              <w:sz w:val="22"/>
            </w:rPr>
          </w:pPr>
          <w:hyperlink w:anchor="_Toc72496197" w:history="1">
            <w:r w:rsidR="00627BA3" w:rsidRPr="00740B82">
              <w:rPr>
                <w:rStyle w:val="Hyperlink"/>
              </w:rPr>
              <w:t>II.</w:t>
            </w:r>
            <w:r w:rsidR="00627BA3">
              <w:rPr>
                <w:rFonts w:asciiTheme="minorHAnsi" w:hAnsiTheme="minorHAnsi"/>
                <w:sz w:val="22"/>
              </w:rPr>
              <w:tab/>
            </w:r>
            <w:r w:rsidR="00627BA3" w:rsidRPr="00740B82">
              <w:rPr>
                <w:rStyle w:val="Hyperlink"/>
              </w:rPr>
              <w:t>JURISDICTION AND NOTICE</w:t>
            </w:r>
            <w:r w:rsidR="00627BA3">
              <w:rPr>
                <w:webHidden/>
              </w:rPr>
              <w:tab/>
            </w:r>
            <w:r w:rsidR="00627BA3">
              <w:rPr>
                <w:webHidden/>
              </w:rPr>
              <w:fldChar w:fldCharType="begin"/>
            </w:r>
            <w:r w:rsidR="00627BA3">
              <w:rPr>
                <w:webHidden/>
              </w:rPr>
              <w:instrText xml:space="preserve"> PAGEREF _Toc72496197 \h </w:instrText>
            </w:r>
            <w:r w:rsidR="00627BA3">
              <w:rPr>
                <w:webHidden/>
              </w:rPr>
            </w:r>
            <w:r w:rsidR="00627BA3">
              <w:rPr>
                <w:webHidden/>
              </w:rPr>
              <w:fldChar w:fldCharType="separate"/>
            </w:r>
            <w:r w:rsidR="00627BA3">
              <w:rPr>
                <w:webHidden/>
              </w:rPr>
              <w:t>5</w:t>
            </w:r>
            <w:r w:rsidR="00627BA3">
              <w:rPr>
                <w:webHidden/>
              </w:rPr>
              <w:fldChar w:fldCharType="end"/>
            </w:r>
          </w:hyperlink>
        </w:p>
        <w:p w14:paraId="750887EF" w14:textId="64F73CA3" w:rsidR="00627BA3" w:rsidRDefault="00DD2680">
          <w:pPr>
            <w:pStyle w:val="TOC1"/>
            <w:rPr>
              <w:rFonts w:asciiTheme="minorHAnsi" w:hAnsiTheme="minorHAnsi"/>
              <w:sz w:val="22"/>
            </w:rPr>
          </w:pPr>
          <w:hyperlink w:anchor="_Toc72496198" w:history="1">
            <w:r w:rsidR="00627BA3" w:rsidRPr="00740B82">
              <w:rPr>
                <w:rStyle w:val="Hyperlink"/>
              </w:rPr>
              <w:t>III.</w:t>
            </w:r>
            <w:r w:rsidR="00627BA3">
              <w:rPr>
                <w:rFonts w:asciiTheme="minorHAnsi" w:hAnsiTheme="minorHAnsi"/>
                <w:sz w:val="22"/>
              </w:rPr>
              <w:tab/>
            </w:r>
            <w:r w:rsidR="00627BA3" w:rsidRPr="00740B82">
              <w:rPr>
                <w:rStyle w:val="Hyperlink"/>
              </w:rPr>
              <w:t>ERRORS AND OMISSIONS IN THE APPLICATION</w:t>
            </w:r>
            <w:r w:rsidR="00627BA3">
              <w:rPr>
                <w:webHidden/>
              </w:rPr>
              <w:tab/>
            </w:r>
            <w:r w:rsidR="00627BA3">
              <w:rPr>
                <w:webHidden/>
              </w:rPr>
              <w:fldChar w:fldCharType="begin"/>
            </w:r>
            <w:r w:rsidR="00627BA3">
              <w:rPr>
                <w:webHidden/>
              </w:rPr>
              <w:instrText xml:space="preserve"> PAGEREF _Toc72496198 \h </w:instrText>
            </w:r>
            <w:r w:rsidR="00627BA3">
              <w:rPr>
                <w:webHidden/>
              </w:rPr>
            </w:r>
            <w:r w:rsidR="00627BA3">
              <w:rPr>
                <w:webHidden/>
              </w:rPr>
              <w:fldChar w:fldCharType="separate"/>
            </w:r>
            <w:r w:rsidR="00627BA3">
              <w:rPr>
                <w:webHidden/>
              </w:rPr>
              <w:t>5</w:t>
            </w:r>
            <w:r w:rsidR="00627BA3">
              <w:rPr>
                <w:webHidden/>
              </w:rPr>
              <w:fldChar w:fldCharType="end"/>
            </w:r>
          </w:hyperlink>
        </w:p>
        <w:p w14:paraId="6353DCC6" w14:textId="5E621EE5" w:rsidR="00627BA3" w:rsidRDefault="00DD2680">
          <w:pPr>
            <w:pStyle w:val="TOC2"/>
            <w:tabs>
              <w:tab w:val="left" w:pos="1440"/>
            </w:tabs>
            <w:rPr>
              <w:rFonts w:asciiTheme="minorHAnsi" w:eastAsiaTheme="minorEastAsia" w:hAnsiTheme="minorHAnsi"/>
              <w:noProof/>
              <w:sz w:val="22"/>
            </w:rPr>
          </w:pPr>
          <w:hyperlink w:anchor="_Toc72496199" w:history="1">
            <w:r w:rsidR="00627BA3" w:rsidRPr="00740B82">
              <w:rPr>
                <w:rStyle w:val="Hyperlink"/>
                <w:noProof/>
              </w:rPr>
              <w:t>A.</w:t>
            </w:r>
            <w:r w:rsidR="00627BA3">
              <w:rPr>
                <w:rFonts w:asciiTheme="minorHAnsi" w:eastAsiaTheme="minorEastAsia" w:hAnsiTheme="minorHAnsi"/>
                <w:noProof/>
                <w:sz w:val="22"/>
              </w:rPr>
              <w:tab/>
            </w:r>
            <w:r w:rsidR="00627BA3" w:rsidRPr="00740B82">
              <w:rPr>
                <w:rStyle w:val="Hyperlink"/>
                <w:noProof/>
              </w:rPr>
              <w:t>CPS Energy’s Application suffers from a lack of routing diversity.</w:t>
            </w:r>
            <w:r w:rsidR="00627BA3">
              <w:rPr>
                <w:noProof/>
                <w:webHidden/>
              </w:rPr>
              <w:tab/>
            </w:r>
            <w:r w:rsidR="00627BA3">
              <w:rPr>
                <w:noProof/>
                <w:webHidden/>
              </w:rPr>
              <w:fldChar w:fldCharType="begin"/>
            </w:r>
            <w:r w:rsidR="00627BA3">
              <w:rPr>
                <w:noProof/>
                <w:webHidden/>
              </w:rPr>
              <w:instrText xml:space="preserve"> PAGEREF _Toc72496199 \h </w:instrText>
            </w:r>
            <w:r w:rsidR="00627BA3">
              <w:rPr>
                <w:noProof/>
                <w:webHidden/>
              </w:rPr>
            </w:r>
            <w:r w:rsidR="00627BA3">
              <w:rPr>
                <w:noProof/>
                <w:webHidden/>
              </w:rPr>
              <w:fldChar w:fldCharType="separate"/>
            </w:r>
            <w:r w:rsidR="00627BA3">
              <w:rPr>
                <w:noProof/>
                <w:webHidden/>
              </w:rPr>
              <w:t>5</w:t>
            </w:r>
            <w:r w:rsidR="00627BA3">
              <w:rPr>
                <w:noProof/>
                <w:webHidden/>
              </w:rPr>
              <w:fldChar w:fldCharType="end"/>
            </w:r>
          </w:hyperlink>
        </w:p>
        <w:p w14:paraId="23498900" w14:textId="6696D128" w:rsidR="00627BA3" w:rsidRDefault="00DD2680" w:rsidP="00455FA1">
          <w:pPr>
            <w:pStyle w:val="TOC2"/>
            <w:tabs>
              <w:tab w:val="left" w:pos="1440"/>
            </w:tabs>
            <w:ind w:left="1440" w:hanging="720"/>
            <w:rPr>
              <w:rFonts w:asciiTheme="minorHAnsi" w:eastAsiaTheme="minorEastAsia" w:hAnsiTheme="minorHAnsi"/>
              <w:noProof/>
              <w:sz w:val="22"/>
            </w:rPr>
          </w:pPr>
          <w:hyperlink w:anchor="_Toc72496200" w:history="1">
            <w:r w:rsidR="00627BA3" w:rsidRPr="00740B82">
              <w:rPr>
                <w:rStyle w:val="Hyperlink"/>
                <w:noProof/>
              </w:rPr>
              <w:t>B.</w:t>
            </w:r>
            <w:r w:rsidR="00627BA3">
              <w:rPr>
                <w:rFonts w:asciiTheme="minorHAnsi" w:eastAsiaTheme="minorEastAsia" w:hAnsiTheme="minorHAnsi"/>
                <w:noProof/>
                <w:sz w:val="22"/>
              </w:rPr>
              <w:tab/>
            </w:r>
            <w:r w:rsidR="00627BA3" w:rsidRPr="00740B82">
              <w:rPr>
                <w:rStyle w:val="Hyperlink"/>
                <w:noProof/>
              </w:rPr>
              <w:t>CPS Energy did not conduct a second open house after substantially changing routing.</w:t>
            </w:r>
            <w:r w:rsidR="00627BA3">
              <w:rPr>
                <w:noProof/>
                <w:webHidden/>
              </w:rPr>
              <w:tab/>
            </w:r>
            <w:r w:rsidR="00627BA3">
              <w:rPr>
                <w:noProof/>
                <w:webHidden/>
              </w:rPr>
              <w:fldChar w:fldCharType="begin"/>
            </w:r>
            <w:r w:rsidR="00627BA3">
              <w:rPr>
                <w:noProof/>
                <w:webHidden/>
              </w:rPr>
              <w:instrText xml:space="preserve"> PAGEREF _Toc72496200 \h </w:instrText>
            </w:r>
            <w:r w:rsidR="00627BA3">
              <w:rPr>
                <w:noProof/>
                <w:webHidden/>
              </w:rPr>
            </w:r>
            <w:r w:rsidR="00627BA3">
              <w:rPr>
                <w:noProof/>
                <w:webHidden/>
              </w:rPr>
              <w:fldChar w:fldCharType="separate"/>
            </w:r>
            <w:r w:rsidR="00627BA3">
              <w:rPr>
                <w:noProof/>
                <w:webHidden/>
              </w:rPr>
              <w:t>6</w:t>
            </w:r>
            <w:r w:rsidR="00627BA3">
              <w:rPr>
                <w:noProof/>
                <w:webHidden/>
              </w:rPr>
              <w:fldChar w:fldCharType="end"/>
            </w:r>
          </w:hyperlink>
        </w:p>
        <w:p w14:paraId="57197C25" w14:textId="00BD0CF6" w:rsidR="00627BA3" w:rsidRDefault="00DD2680">
          <w:pPr>
            <w:pStyle w:val="TOC2"/>
            <w:tabs>
              <w:tab w:val="left" w:pos="1440"/>
            </w:tabs>
            <w:rPr>
              <w:rFonts w:asciiTheme="minorHAnsi" w:eastAsiaTheme="minorEastAsia" w:hAnsiTheme="minorHAnsi"/>
              <w:noProof/>
              <w:sz w:val="22"/>
            </w:rPr>
          </w:pPr>
          <w:hyperlink w:anchor="_Toc72496201" w:history="1">
            <w:r w:rsidR="00627BA3" w:rsidRPr="00740B82">
              <w:rPr>
                <w:rStyle w:val="Hyperlink"/>
                <w:noProof/>
              </w:rPr>
              <w:t>C.</w:t>
            </w:r>
            <w:r w:rsidR="00627BA3">
              <w:rPr>
                <w:rFonts w:asciiTheme="minorHAnsi" w:eastAsiaTheme="minorEastAsia" w:hAnsiTheme="minorHAnsi"/>
                <w:noProof/>
                <w:sz w:val="22"/>
              </w:rPr>
              <w:tab/>
            </w:r>
            <w:r w:rsidR="00627BA3" w:rsidRPr="00740B82">
              <w:rPr>
                <w:rStyle w:val="Hyperlink"/>
                <w:noProof/>
              </w:rPr>
              <w:t>CPS Energy failed to properly account for park and recreation areas.</w:t>
            </w:r>
            <w:r w:rsidR="00627BA3">
              <w:rPr>
                <w:noProof/>
                <w:webHidden/>
              </w:rPr>
              <w:tab/>
            </w:r>
            <w:r w:rsidR="00627BA3">
              <w:rPr>
                <w:noProof/>
                <w:webHidden/>
              </w:rPr>
              <w:fldChar w:fldCharType="begin"/>
            </w:r>
            <w:r w:rsidR="00627BA3">
              <w:rPr>
                <w:noProof/>
                <w:webHidden/>
              </w:rPr>
              <w:instrText xml:space="preserve"> PAGEREF _Toc72496201 \h </w:instrText>
            </w:r>
            <w:r w:rsidR="00627BA3">
              <w:rPr>
                <w:noProof/>
                <w:webHidden/>
              </w:rPr>
            </w:r>
            <w:r w:rsidR="00627BA3">
              <w:rPr>
                <w:noProof/>
                <w:webHidden/>
              </w:rPr>
              <w:fldChar w:fldCharType="separate"/>
            </w:r>
            <w:r w:rsidR="00627BA3">
              <w:rPr>
                <w:noProof/>
                <w:webHidden/>
              </w:rPr>
              <w:t>8</w:t>
            </w:r>
            <w:r w:rsidR="00627BA3">
              <w:rPr>
                <w:noProof/>
                <w:webHidden/>
              </w:rPr>
              <w:fldChar w:fldCharType="end"/>
            </w:r>
          </w:hyperlink>
        </w:p>
        <w:p w14:paraId="07BC8BA9" w14:textId="6F96B79B" w:rsidR="00627BA3" w:rsidRDefault="00DD2680">
          <w:pPr>
            <w:pStyle w:val="TOC2"/>
            <w:tabs>
              <w:tab w:val="left" w:pos="1440"/>
            </w:tabs>
            <w:rPr>
              <w:rFonts w:asciiTheme="minorHAnsi" w:eastAsiaTheme="minorEastAsia" w:hAnsiTheme="minorHAnsi"/>
              <w:noProof/>
              <w:sz w:val="22"/>
            </w:rPr>
          </w:pPr>
          <w:hyperlink w:anchor="_Toc72496202" w:history="1">
            <w:r w:rsidR="00627BA3" w:rsidRPr="00740B82">
              <w:rPr>
                <w:rStyle w:val="Hyperlink"/>
                <w:noProof/>
              </w:rPr>
              <w:t>D.</w:t>
            </w:r>
            <w:r w:rsidR="00627BA3">
              <w:rPr>
                <w:rFonts w:asciiTheme="minorHAnsi" w:eastAsiaTheme="minorEastAsia" w:hAnsiTheme="minorHAnsi"/>
                <w:noProof/>
                <w:sz w:val="22"/>
              </w:rPr>
              <w:tab/>
            </w:r>
            <w:r w:rsidR="00627BA3" w:rsidRPr="00740B82">
              <w:rPr>
                <w:rStyle w:val="Hyperlink"/>
                <w:noProof/>
              </w:rPr>
              <w:t>CPS Energy was unaware of its own natural gas pipeline.</w:t>
            </w:r>
            <w:r w:rsidR="00627BA3">
              <w:rPr>
                <w:noProof/>
                <w:webHidden/>
              </w:rPr>
              <w:tab/>
            </w:r>
            <w:r w:rsidR="00627BA3">
              <w:rPr>
                <w:noProof/>
                <w:webHidden/>
              </w:rPr>
              <w:fldChar w:fldCharType="begin"/>
            </w:r>
            <w:r w:rsidR="00627BA3">
              <w:rPr>
                <w:noProof/>
                <w:webHidden/>
              </w:rPr>
              <w:instrText xml:space="preserve"> PAGEREF _Toc72496202 \h </w:instrText>
            </w:r>
            <w:r w:rsidR="00627BA3">
              <w:rPr>
                <w:noProof/>
                <w:webHidden/>
              </w:rPr>
            </w:r>
            <w:r w:rsidR="00627BA3">
              <w:rPr>
                <w:noProof/>
                <w:webHidden/>
              </w:rPr>
              <w:fldChar w:fldCharType="separate"/>
            </w:r>
            <w:r w:rsidR="00627BA3">
              <w:rPr>
                <w:noProof/>
                <w:webHidden/>
              </w:rPr>
              <w:t>9</w:t>
            </w:r>
            <w:r w:rsidR="00627BA3">
              <w:rPr>
                <w:noProof/>
                <w:webHidden/>
              </w:rPr>
              <w:fldChar w:fldCharType="end"/>
            </w:r>
          </w:hyperlink>
        </w:p>
        <w:p w14:paraId="67467B4E" w14:textId="2865C75A" w:rsidR="00627BA3" w:rsidRDefault="00DD2680">
          <w:pPr>
            <w:pStyle w:val="TOC2"/>
            <w:tabs>
              <w:tab w:val="left" w:pos="1440"/>
            </w:tabs>
            <w:rPr>
              <w:rFonts w:asciiTheme="minorHAnsi" w:eastAsiaTheme="minorEastAsia" w:hAnsiTheme="minorHAnsi"/>
              <w:noProof/>
              <w:sz w:val="22"/>
            </w:rPr>
          </w:pPr>
          <w:hyperlink w:anchor="_Toc72496203" w:history="1">
            <w:r w:rsidR="00627BA3" w:rsidRPr="00740B82">
              <w:rPr>
                <w:rStyle w:val="Hyperlink"/>
                <w:noProof/>
              </w:rPr>
              <w:t>E.</w:t>
            </w:r>
            <w:r w:rsidR="00627BA3">
              <w:rPr>
                <w:rFonts w:asciiTheme="minorHAnsi" w:eastAsiaTheme="minorEastAsia" w:hAnsiTheme="minorHAnsi"/>
                <w:noProof/>
                <w:sz w:val="22"/>
              </w:rPr>
              <w:tab/>
            </w:r>
            <w:r w:rsidR="00627BA3" w:rsidRPr="00740B82">
              <w:rPr>
                <w:rStyle w:val="Hyperlink"/>
                <w:noProof/>
              </w:rPr>
              <w:t>CPS Energy treated similarly situated individuals differently.</w:t>
            </w:r>
            <w:r w:rsidR="00627BA3">
              <w:rPr>
                <w:noProof/>
                <w:webHidden/>
              </w:rPr>
              <w:tab/>
            </w:r>
            <w:r w:rsidR="00627BA3">
              <w:rPr>
                <w:noProof/>
                <w:webHidden/>
              </w:rPr>
              <w:fldChar w:fldCharType="begin"/>
            </w:r>
            <w:r w:rsidR="00627BA3">
              <w:rPr>
                <w:noProof/>
                <w:webHidden/>
              </w:rPr>
              <w:instrText xml:space="preserve"> PAGEREF _Toc72496203 \h </w:instrText>
            </w:r>
            <w:r w:rsidR="00627BA3">
              <w:rPr>
                <w:noProof/>
                <w:webHidden/>
              </w:rPr>
            </w:r>
            <w:r w:rsidR="00627BA3">
              <w:rPr>
                <w:noProof/>
                <w:webHidden/>
              </w:rPr>
              <w:fldChar w:fldCharType="separate"/>
            </w:r>
            <w:r w:rsidR="00627BA3">
              <w:rPr>
                <w:noProof/>
                <w:webHidden/>
              </w:rPr>
              <w:t>9</w:t>
            </w:r>
            <w:r w:rsidR="00627BA3">
              <w:rPr>
                <w:noProof/>
                <w:webHidden/>
              </w:rPr>
              <w:fldChar w:fldCharType="end"/>
            </w:r>
          </w:hyperlink>
        </w:p>
        <w:p w14:paraId="15F53FEC" w14:textId="732A2968" w:rsidR="00627BA3" w:rsidRDefault="00DD2680">
          <w:pPr>
            <w:pStyle w:val="TOC2"/>
            <w:tabs>
              <w:tab w:val="left" w:pos="1440"/>
            </w:tabs>
            <w:rPr>
              <w:rFonts w:asciiTheme="minorHAnsi" w:eastAsiaTheme="minorEastAsia" w:hAnsiTheme="minorHAnsi"/>
              <w:noProof/>
              <w:sz w:val="22"/>
            </w:rPr>
          </w:pPr>
          <w:hyperlink w:anchor="_Toc72496204" w:history="1">
            <w:r w:rsidR="00627BA3" w:rsidRPr="00740B82">
              <w:rPr>
                <w:rStyle w:val="Hyperlink"/>
                <w:noProof/>
              </w:rPr>
              <w:t>F.</w:t>
            </w:r>
            <w:r w:rsidR="00627BA3">
              <w:rPr>
                <w:rFonts w:asciiTheme="minorHAnsi" w:eastAsiaTheme="minorEastAsia" w:hAnsiTheme="minorHAnsi"/>
                <w:noProof/>
                <w:sz w:val="22"/>
              </w:rPr>
              <w:tab/>
            </w:r>
            <w:r w:rsidR="00627BA3" w:rsidRPr="00740B82">
              <w:rPr>
                <w:rStyle w:val="Hyperlink"/>
                <w:noProof/>
              </w:rPr>
              <w:t>CPS Energy provided unsubstantiated and inaccurate right-of-way costs.</w:t>
            </w:r>
            <w:r w:rsidR="00627BA3">
              <w:rPr>
                <w:noProof/>
                <w:webHidden/>
              </w:rPr>
              <w:tab/>
            </w:r>
            <w:r w:rsidR="00627BA3">
              <w:rPr>
                <w:noProof/>
                <w:webHidden/>
              </w:rPr>
              <w:fldChar w:fldCharType="begin"/>
            </w:r>
            <w:r w:rsidR="00627BA3">
              <w:rPr>
                <w:noProof/>
                <w:webHidden/>
              </w:rPr>
              <w:instrText xml:space="preserve"> PAGEREF _Toc72496204 \h </w:instrText>
            </w:r>
            <w:r w:rsidR="00627BA3">
              <w:rPr>
                <w:noProof/>
                <w:webHidden/>
              </w:rPr>
            </w:r>
            <w:r w:rsidR="00627BA3">
              <w:rPr>
                <w:noProof/>
                <w:webHidden/>
              </w:rPr>
              <w:fldChar w:fldCharType="separate"/>
            </w:r>
            <w:r w:rsidR="00627BA3">
              <w:rPr>
                <w:noProof/>
                <w:webHidden/>
              </w:rPr>
              <w:t>10</w:t>
            </w:r>
            <w:r w:rsidR="00627BA3">
              <w:rPr>
                <w:noProof/>
                <w:webHidden/>
              </w:rPr>
              <w:fldChar w:fldCharType="end"/>
            </w:r>
          </w:hyperlink>
        </w:p>
        <w:p w14:paraId="7CA1F960" w14:textId="5D982884" w:rsidR="00627BA3" w:rsidRDefault="00DD2680">
          <w:pPr>
            <w:pStyle w:val="TOC2"/>
            <w:tabs>
              <w:tab w:val="left" w:pos="1440"/>
            </w:tabs>
            <w:rPr>
              <w:rFonts w:asciiTheme="minorHAnsi" w:eastAsiaTheme="minorEastAsia" w:hAnsiTheme="minorHAnsi"/>
              <w:noProof/>
              <w:sz w:val="22"/>
            </w:rPr>
          </w:pPr>
          <w:hyperlink w:anchor="_Toc72496205" w:history="1">
            <w:r w:rsidR="00627BA3" w:rsidRPr="00740B82">
              <w:rPr>
                <w:rStyle w:val="Hyperlink"/>
                <w:noProof/>
              </w:rPr>
              <w:t>G.</w:t>
            </w:r>
            <w:r w:rsidR="00627BA3">
              <w:rPr>
                <w:rFonts w:asciiTheme="minorHAnsi" w:eastAsiaTheme="minorEastAsia" w:hAnsiTheme="minorHAnsi"/>
                <w:noProof/>
                <w:sz w:val="22"/>
              </w:rPr>
              <w:tab/>
            </w:r>
            <w:r w:rsidR="00627BA3" w:rsidRPr="00740B82">
              <w:rPr>
                <w:rStyle w:val="Hyperlink"/>
                <w:noProof/>
              </w:rPr>
              <w:t>CPS Energy failed to conduct accurate habitable structure counts.</w:t>
            </w:r>
            <w:r w:rsidR="00627BA3">
              <w:rPr>
                <w:noProof/>
                <w:webHidden/>
              </w:rPr>
              <w:tab/>
            </w:r>
            <w:r w:rsidR="00627BA3">
              <w:rPr>
                <w:noProof/>
                <w:webHidden/>
              </w:rPr>
              <w:fldChar w:fldCharType="begin"/>
            </w:r>
            <w:r w:rsidR="00627BA3">
              <w:rPr>
                <w:noProof/>
                <w:webHidden/>
              </w:rPr>
              <w:instrText xml:space="preserve"> PAGEREF _Toc72496205 \h </w:instrText>
            </w:r>
            <w:r w:rsidR="00627BA3">
              <w:rPr>
                <w:noProof/>
                <w:webHidden/>
              </w:rPr>
            </w:r>
            <w:r w:rsidR="00627BA3">
              <w:rPr>
                <w:noProof/>
                <w:webHidden/>
              </w:rPr>
              <w:fldChar w:fldCharType="separate"/>
            </w:r>
            <w:r w:rsidR="00627BA3">
              <w:rPr>
                <w:noProof/>
                <w:webHidden/>
              </w:rPr>
              <w:t>11</w:t>
            </w:r>
            <w:r w:rsidR="00627BA3">
              <w:rPr>
                <w:noProof/>
                <w:webHidden/>
              </w:rPr>
              <w:fldChar w:fldCharType="end"/>
            </w:r>
          </w:hyperlink>
        </w:p>
        <w:p w14:paraId="6CE8E45D" w14:textId="762D7CE8" w:rsidR="00627BA3" w:rsidRDefault="00DD2680" w:rsidP="003172DC">
          <w:pPr>
            <w:pStyle w:val="TOC2"/>
            <w:tabs>
              <w:tab w:val="left" w:pos="1440"/>
            </w:tabs>
            <w:ind w:left="1440" w:hanging="720"/>
            <w:rPr>
              <w:rFonts w:asciiTheme="minorHAnsi" w:eastAsiaTheme="minorEastAsia" w:hAnsiTheme="minorHAnsi"/>
              <w:noProof/>
              <w:sz w:val="22"/>
            </w:rPr>
          </w:pPr>
          <w:hyperlink w:anchor="_Toc72496206" w:history="1">
            <w:r w:rsidR="00627BA3" w:rsidRPr="00740B82">
              <w:rPr>
                <w:rStyle w:val="Hyperlink"/>
                <w:noProof/>
              </w:rPr>
              <w:t>H.</w:t>
            </w:r>
            <w:r w:rsidR="00627BA3">
              <w:rPr>
                <w:rFonts w:asciiTheme="minorHAnsi" w:eastAsiaTheme="minorEastAsia" w:hAnsiTheme="minorHAnsi"/>
                <w:noProof/>
                <w:sz w:val="22"/>
              </w:rPr>
              <w:tab/>
            </w:r>
            <w:r w:rsidR="00627BA3" w:rsidRPr="00740B82">
              <w:rPr>
                <w:rStyle w:val="Hyperlink"/>
                <w:noProof/>
              </w:rPr>
              <w:t>CPS Energy waited until one week before the hearing to provide critical ROW data that implicates the community’s safety.</w:t>
            </w:r>
            <w:r w:rsidR="00627BA3">
              <w:rPr>
                <w:noProof/>
                <w:webHidden/>
              </w:rPr>
              <w:tab/>
            </w:r>
            <w:r w:rsidR="00627BA3">
              <w:rPr>
                <w:noProof/>
                <w:webHidden/>
              </w:rPr>
              <w:fldChar w:fldCharType="begin"/>
            </w:r>
            <w:r w:rsidR="00627BA3">
              <w:rPr>
                <w:noProof/>
                <w:webHidden/>
              </w:rPr>
              <w:instrText xml:space="preserve"> PAGEREF _Toc72496206 \h </w:instrText>
            </w:r>
            <w:r w:rsidR="00627BA3">
              <w:rPr>
                <w:noProof/>
                <w:webHidden/>
              </w:rPr>
            </w:r>
            <w:r w:rsidR="00627BA3">
              <w:rPr>
                <w:noProof/>
                <w:webHidden/>
              </w:rPr>
              <w:fldChar w:fldCharType="separate"/>
            </w:r>
            <w:r w:rsidR="00627BA3">
              <w:rPr>
                <w:noProof/>
                <w:webHidden/>
              </w:rPr>
              <w:t>12</w:t>
            </w:r>
            <w:r w:rsidR="00627BA3">
              <w:rPr>
                <w:noProof/>
                <w:webHidden/>
              </w:rPr>
              <w:fldChar w:fldCharType="end"/>
            </w:r>
          </w:hyperlink>
        </w:p>
        <w:p w14:paraId="3D8DB3CE" w14:textId="16F04B42" w:rsidR="00627BA3" w:rsidRDefault="00DD2680" w:rsidP="00455FA1">
          <w:pPr>
            <w:pStyle w:val="TOC1"/>
            <w:ind w:left="720" w:hanging="720"/>
            <w:rPr>
              <w:rFonts w:asciiTheme="minorHAnsi" w:hAnsiTheme="minorHAnsi"/>
              <w:sz w:val="22"/>
            </w:rPr>
          </w:pPr>
          <w:hyperlink w:anchor="_Toc72496207" w:history="1">
            <w:r w:rsidR="00627BA3" w:rsidRPr="00740B82">
              <w:rPr>
                <w:rStyle w:val="Hyperlink"/>
              </w:rPr>
              <w:t>IV.</w:t>
            </w:r>
            <w:r w:rsidR="00627BA3">
              <w:rPr>
                <w:rFonts w:asciiTheme="minorHAnsi" w:hAnsiTheme="minorHAnsi"/>
                <w:sz w:val="22"/>
              </w:rPr>
              <w:tab/>
            </w:r>
            <w:r w:rsidR="00627BA3" w:rsidRPr="00740B82">
              <w:rPr>
                <w:rStyle w:val="Hyperlink"/>
              </w:rPr>
              <w:t>PRELIMINARY ORDER ISSUE 4: Which proposed transmission line route is the best alternative weighing the factors set forth in PURA § 37.056(c) and 16 TAC § 25.101(b)(3)(B)?</w:t>
            </w:r>
            <w:r w:rsidR="00627BA3">
              <w:rPr>
                <w:webHidden/>
              </w:rPr>
              <w:tab/>
            </w:r>
            <w:r w:rsidR="00627BA3">
              <w:rPr>
                <w:webHidden/>
              </w:rPr>
              <w:fldChar w:fldCharType="begin"/>
            </w:r>
            <w:r w:rsidR="00627BA3">
              <w:rPr>
                <w:webHidden/>
              </w:rPr>
              <w:instrText xml:space="preserve"> PAGEREF _Toc72496207 \h </w:instrText>
            </w:r>
            <w:r w:rsidR="00627BA3">
              <w:rPr>
                <w:webHidden/>
              </w:rPr>
            </w:r>
            <w:r w:rsidR="00627BA3">
              <w:rPr>
                <w:webHidden/>
              </w:rPr>
              <w:fldChar w:fldCharType="separate"/>
            </w:r>
            <w:r w:rsidR="00627BA3">
              <w:rPr>
                <w:webHidden/>
              </w:rPr>
              <w:t>14</w:t>
            </w:r>
            <w:r w:rsidR="00627BA3">
              <w:rPr>
                <w:webHidden/>
              </w:rPr>
              <w:fldChar w:fldCharType="end"/>
            </w:r>
          </w:hyperlink>
        </w:p>
        <w:p w14:paraId="0037AE98" w14:textId="5C7D20D6" w:rsidR="00627BA3" w:rsidRDefault="00DD2680">
          <w:pPr>
            <w:pStyle w:val="TOC2"/>
            <w:tabs>
              <w:tab w:val="left" w:pos="1440"/>
            </w:tabs>
            <w:rPr>
              <w:rFonts w:asciiTheme="minorHAnsi" w:eastAsiaTheme="minorEastAsia" w:hAnsiTheme="minorHAnsi"/>
              <w:noProof/>
              <w:sz w:val="22"/>
            </w:rPr>
          </w:pPr>
          <w:hyperlink w:anchor="_Toc72496208" w:history="1">
            <w:r w:rsidR="00627BA3" w:rsidRPr="00740B82">
              <w:rPr>
                <w:rStyle w:val="Hyperlink"/>
                <w:noProof/>
              </w:rPr>
              <w:t>A.</w:t>
            </w:r>
            <w:r w:rsidR="00627BA3">
              <w:rPr>
                <w:rFonts w:asciiTheme="minorHAnsi" w:eastAsiaTheme="minorEastAsia" w:hAnsiTheme="minorHAnsi"/>
                <w:noProof/>
                <w:sz w:val="22"/>
              </w:rPr>
              <w:tab/>
            </w:r>
            <w:r w:rsidR="00627BA3" w:rsidRPr="00740B82">
              <w:rPr>
                <w:rStyle w:val="Hyperlink"/>
                <w:noProof/>
              </w:rPr>
              <w:t>Routing Criteria under PURA § 37.056(c)(4)</w:t>
            </w:r>
            <w:r w:rsidR="00627BA3">
              <w:rPr>
                <w:noProof/>
                <w:webHidden/>
              </w:rPr>
              <w:tab/>
            </w:r>
            <w:r w:rsidR="00627BA3">
              <w:rPr>
                <w:noProof/>
                <w:webHidden/>
              </w:rPr>
              <w:fldChar w:fldCharType="begin"/>
            </w:r>
            <w:r w:rsidR="00627BA3">
              <w:rPr>
                <w:noProof/>
                <w:webHidden/>
              </w:rPr>
              <w:instrText xml:space="preserve"> PAGEREF _Toc72496208 \h </w:instrText>
            </w:r>
            <w:r w:rsidR="00627BA3">
              <w:rPr>
                <w:noProof/>
                <w:webHidden/>
              </w:rPr>
            </w:r>
            <w:r w:rsidR="00627BA3">
              <w:rPr>
                <w:noProof/>
                <w:webHidden/>
              </w:rPr>
              <w:fldChar w:fldCharType="separate"/>
            </w:r>
            <w:r w:rsidR="00627BA3">
              <w:rPr>
                <w:noProof/>
                <w:webHidden/>
              </w:rPr>
              <w:t>14</w:t>
            </w:r>
            <w:r w:rsidR="00627BA3">
              <w:rPr>
                <w:noProof/>
                <w:webHidden/>
              </w:rPr>
              <w:fldChar w:fldCharType="end"/>
            </w:r>
          </w:hyperlink>
        </w:p>
        <w:p w14:paraId="7331BF01" w14:textId="1ABAFA43" w:rsidR="00627BA3" w:rsidRDefault="00DD2680">
          <w:pPr>
            <w:pStyle w:val="TOC3"/>
            <w:rPr>
              <w:rFonts w:asciiTheme="minorHAnsi" w:eastAsiaTheme="minorEastAsia" w:hAnsiTheme="minorHAnsi"/>
              <w:noProof/>
              <w:sz w:val="22"/>
            </w:rPr>
          </w:pPr>
          <w:hyperlink w:anchor="_Toc72496209" w:history="1">
            <w:r w:rsidR="00627BA3" w:rsidRPr="00740B82">
              <w:rPr>
                <w:rStyle w:val="Hyperlink"/>
                <w:noProof/>
              </w:rPr>
              <w:t>1.</w:t>
            </w:r>
            <w:r w:rsidR="00627BA3">
              <w:rPr>
                <w:rFonts w:asciiTheme="minorHAnsi" w:eastAsiaTheme="minorEastAsia" w:hAnsiTheme="minorHAnsi"/>
                <w:noProof/>
                <w:sz w:val="22"/>
              </w:rPr>
              <w:tab/>
            </w:r>
            <w:r w:rsidR="00627BA3" w:rsidRPr="00740B82">
              <w:rPr>
                <w:rStyle w:val="Hyperlink"/>
                <w:noProof/>
              </w:rPr>
              <w:t>Adequacy of existing service and need for service</w:t>
            </w:r>
            <w:r w:rsidR="00627BA3">
              <w:rPr>
                <w:noProof/>
                <w:webHidden/>
              </w:rPr>
              <w:tab/>
            </w:r>
            <w:r w:rsidR="00627BA3">
              <w:rPr>
                <w:noProof/>
                <w:webHidden/>
              </w:rPr>
              <w:fldChar w:fldCharType="begin"/>
            </w:r>
            <w:r w:rsidR="00627BA3">
              <w:rPr>
                <w:noProof/>
                <w:webHidden/>
              </w:rPr>
              <w:instrText xml:space="preserve"> PAGEREF _Toc72496209 \h </w:instrText>
            </w:r>
            <w:r w:rsidR="00627BA3">
              <w:rPr>
                <w:noProof/>
                <w:webHidden/>
              </w:rPr>
            </w:r>
            <w:r w:rsidR="00627BA3">
              <w:rPr>
                <w:noProof/>
                <w:webHidden/>
              </w:rPr>
              <w:fldChar w:fldCharType="separate"/>
            </w:r>
            <w:r w:rsidR="00627BA3">
              <w:rPr>
                <w:noProof/>
                <w:webHidden/>
              </w:rPr>
              <w:t>14</w:t>
            </w:r>
            <w:r w:rsidR="00627BA3">
              <w:rPr>
                <w:noProof/>
                <w:webHidden/>
              </w:rPr>
              <w:fldChar w:fldCharType="end"/>
            </w:r>
          </w:hyperlink>
        </w:p>
        <w:p w14:paraId="567975A3" w14:textId="686245F8" w:rsidR="00627BA3" w:rsidRDefault="00DD2680">
          <w:pPr>
            <w:pStyle w:val="TOC3"/>
            <w:rPr>
              <w:rFonts w:asciiTheme="minorHAnsi" w:eastAsiaTheme="minorEastAsia" w:hAnsiTheme="minorHAnsi"/>
              <w:noProof/>
              <w:sz w:val="22"/>
            </w:rPr>
          </w:pPr>
          <w:hyperlink w:anchor="_Toc72496210" w:history="1">
            <w:r w:rsidR="00627BA3" w:rsidRPr="00740B82">
              <w:rPr>
                <w:rStyle w:val="Hyperlink"/>
                <w:noProof/>
              </w:rPr>
              <w:t>2.</w:t>
            </w:r>
            <w:r w:rsidR="00627BA3">
              <w:rPr>
                <w:rFonts w:asciiTheme="minorHAnsi" w:eastAsiaTheme="minorEastAsia" w:hAnsiTheme="minorHAnsi"/>
                <w:noProof/>
                <w:sz w:val="22"/>
              </w:rPr>
              <w:tab/>
            </w:r>
            <w:r w:rsidR="00627BA3" w:rsidRPr="00740B82">
              <w:rPr>
                <w:rStyle w:val="Hyperlink"/>
                <w:noProof/>
              </w:rPr>
              <w:t>Community Values</w:t>
            </w:r>
            <w:r w:rsidR="00627BA3">
              <w:rPr>
                <w:noProof/>
                <w:webHidden/>
              </w:rPr>
              <w:tab/>
            </w:r>
            <w:r w:rsidR="00627BA3">
              <w:rPr>
                <w:noProof/>
                <w:webHidden/>
              </w:rPr>
              <w:fldChar w:fldCharType="begin"/>
            </w:r>
            <w:r w:rsidR="00627BA3">
              <w:rPr>
                <w:noProof/>
                <w:webHidden/>
              </w:rPr>
              <w:instrText xml:space="preserve"> PAGEREF _Toc72496210 \h </w:instrText>
            </w:r>
            <w:r w:rsidR="00627BA3">
              <w:rPr>
                <w:noProof/>
                <w:webHidden/>
              </w:rPr>
            </w:r>
            <w:r w:rsidR="00627BA3">
              <w:rPr>
                <w:noProof/>
                <w:webHidden/>
              </w:rPr>
              <w:fldChar w:fldCharType="separate"/>
            </w:r>
            <w:r w:rsidR="00627BA3">
              <w:rPr>
                <w:noProof/>
                <w:webHidden/>
              </w:rPr>
              <w:t>14</w:t>
            </w:r>
            <w:r w:rsidR="00627BA3">
              <w:rPr>
                <w:noProof/>
                <w:webHidden/>
              </w:rPr>
              <w:fldChar w:fldCharType="end"/>
            </w:r>
          </w:hyperlink>
        </w:p>
        <w:p w14:paraId="0CA2C237" w14:textId="0FA96330" w:rsidR="00627BA3" w:rsidRDefault="00DD2680">
          <w:pPr>
            <w:pStyle w:val="TOC3"/>
            <w:rPr>
              <w:rFonts w:asciiTheme="minorHAnsi" w:eastAsiaTheme="minorEastAsia" w:hAnsiTheme="minorHAnsi"/>
              <w:noProof/>
              <w:sz w:val="22"/>
            </w:rPr>
          </w:pPr>
          <w:hyperlink w:anchor="_Toc72496211" w:history="1">
            <w:r w:rsidR="00627BA3" w:rsidRPr="00740B82">
              <w:rPr>
                <w:rStyle w:val="Hyperlink"/>
                <w:noProof/>
              </w:rPr>
              <w:t>3.</w:t>
            </w:r>
            <w:r w:rsidR="00627BA3">
              <w:rPr>
                <w:rFonts w:asciiTheme="minorHAnsi" w:eastAsiaTheme="minorEastAsia" w:hAnsiTheme="minorHAnsi"/>
                <w:noProof/>
                <w:sz w:val="22"/>
              </w:rPr>
              <w:tab/>
            </w:r>
            <w:r w:rsidR="00627BA3" w:rsidRPr="00740B82">
              <w:rPr>
                <w:rStyle w:val="Hyperlink"/>
                <w:noProof/>
              </w:rPr>
              <w:t>Historical Values</w:t>
            </w:r>
            <w:r w:rsidR="00627BA3">
              <w:rPr>
                <w:noProof/>
                <w:webHidden/>
              </w:rPr>
              <w:tab/>
            </w:r>
            <w:r w:rsidR="00627BA3">
              <w:rPr>
                <w:noProof/>
                <w:webHidden/>
              </w:rPr>
              <w:fldChar w:fldCharType="begin"/>
            </w:r>
            <w:r w:rsidR="00627BA3">
              <w:rPr>
                <w:noProof/>
                <w:webHidden/>
              </w:rPr>
              <w:instrText xml:space="preserve"> PAGEREF _Toc72496211 \h </w:instrText>
            </w:r>
            <w:r w:rsidR="00627BA3">
              <w:rPr>
                <w:noProof/>
                <w:webHidden/>
              </w:rPr>
            </w:r>
            <w:r w:rsidR="00627BA3">
              <w:rPr>
                <w:noProof/>
                <w:webHidden/>
              </w:rPr>
              <w:fldChar w:fldCharType="separate"/>
            </w:r>
            <w:r w:rsidR="00627BA3">
              <w:rPr>
                <w:noProof/>
                <w:webHidden/>
              </w:rPr>
              <w:t>15</w:t>
            </w:r>
            <w:r w:rsidR="00627BA3">
              <w:rPr>
                <w:noProof/>
                <w:webHidden/>
              </w:rPr>
              <w:fldChar w:fldCharType="end"/>
            </w:r>
          </w:hyperlink>
        </w:p>
        <w:p w14:paraId="5B015CD8" w14:textId="15022095" w:rsidR="00627BA3" w:rsidRDefault="00DD2680">
          <w:pPr>
            <w:pStyle w:val="TOC3"/>
            <w:rPr>
              <w:rFonts w:asciiTheme="minorHAnsi" w:eastAsiaTheme="minorEastAsia" w:hAnsiTheme="minorHAnsi"/>
              <w:noProof/>
              <w:sz w:val="22"/>
            </w:rPr>
          </w:pPr>
          <w:hyperlink w:anchor="_Toc72496212" w:history="1">
            <w:r w:rsidR="00627BA3" w:rsidRPr="00740B82">
              <w:rPr>
                <w:rStyle w:val="Hyperlink"/>
                <w:noProof/>
              </w:rPr>
              <w:t>4.</w:t>
            </w:r>
            <w:r w:rsidR="00627BA3">
              <w:rPr>
                <w:rFonts w:asciiTheme="minorHAnsi" w:eastAsiaTheme="minorEastAsia" w:hAnsiTheme="minorHAnsi"/>
                <w:noProof/>
                <w:sz w:val="22"/>
              </w:rPr>
              <w:tab/>
            </w:r>
            <w:r w:rsidR="00627BA3" w:rsidRPr="00740B82">
              <w:rPr>
                <w:rStyle w:val="Hyperlink"/>
                <w:noProof/>
              </w:rPr>
              <w:t>Parks and recreation areas</w:t>
            </w:r>
            <w:r w:rsidR="00627BA3">
              <w:rPr>
                <w:noProof/>
                <w:webHidden/>
              </w:rPr>
              <w:tab/>
            </w:r>
            <w:r w:rsidR="00627BA3">
              <w:rPr>
                <w:noProof/>
                <w:webHidden/>
              </w:rPr>
              <w:fldChar w:fldCharType="begin"/>
            </w:r>
            <w:r w:rsidR="00627BA3">
              <w:rPr>
                <w:noProof/>
                <w:webHidden/>
              </w:rPr>
              <w:instrText xml:space="preserve"> PAGEREF _Toc72496212 \h </w:instrText>
            </w:r>
            <w:r w:rsidR="00627BA3">
              <w:rPr>
                <w:noProof/>
                <w:webHidden/>
              </w:rPr>
            </w:r>
            <w:r w:rsidR="00627BA3">
              <w:rPr>
                <w:noProof/>
                <w:webHidden/>
              </w:rPr>
              <w:fldChar w:fldCharType="separate"/>
            </w:r>
            <w:r w:rsidR="00627BA3">
              <w:rPr>
                <w:noProof/>
                <w:webHidden/>
              </w:rPr>
              <w:t>15</w:t>
            </w:r>
            <w:r w:rsidR="00627BA3">
              <w:rPr>
                <w:noProof/>
                <w:webHidden/>
              </w:rPr>
              <w:fldChar w:fldCharType="end"/>
            </w:r>
          </w:hyperlink>
        </w:p>
        <w:p w14:paraId="5E53B265" w14:textId="39FD02DE" w:rsidR="00627BA3" w:rsidRDefault="00DD2680">
          <w:pPr>
            <w:pStyle w:val="TOC2"/>
            <w:tabs>
              <w:tab w:val="left" w:pos="1440"/>
            </w:tabs>
            <w:rPr>
              <w:rFonts w:asciiTheme="minorHAnsi" w:eastAsiaTheme="minorEastAsia" w:hAnsiTheme="minorHAnsi"/>
              <w:noProof/>
              <w:sz w:val="22"/>
            </w:rPr>
          </w:pPr>
          <w:hyperlink w:anchor="_Toc72496213" w:history="1">
            <w:r w:rsidR="00627BA3" w:rsidRPr="00740B82">
              <w:rPr>
                <w:rStyle w:val="Hyperlink"/>
                <w:noProof/>
              </w:rPr>
              <w:t>B.</w:t>
            </w:r>
            <w:r w:rsidR="00627BA3">
              <w:rPr>
                <w:rFonts w:asciiTheme="minorHAnsi" w:eastAsiaTheme="minorEastAsia" w:hAnsiTheme="minorHAnsi"/>
                <w:noProof/>
                <w:sz w:val="22"/>
              </w:rPr>
              <w:tab/>
            </w:r>
            <w:r w:rsidR="00627BA3" w:rsidRPr="00740B82">
              <w:rPr>
                <w:rStyle w:val="Hyperlink"/>
                <w:noProof/>
              </w:rPr>
              <w:t>Routing Criteria under 16 TAC § 25.101(b)(3)(B)</w:t>
            </w:r>
            <w:r w:rsidR="00627BA3">
              <w:rPr>
                <w:noProof/>
                <w:webHidden/>
              </w:rPr>
              <w:tab/>
            </w:r>
            <w:r w:rsidR="00627BA3">
              <w:rPr>
                <w:noProof/>
                <w:webHidden/>
              </w:rPr>
              <w:fldChar w:fldCharType="begin"/>
            </w:r>
            <w:r w:rsidR="00627BA3">
              <w:rPr>
                <w:noProof/>
                <w:webHidden/>
              </w:rPr>
              <w:instrText xml:space="preserve"> PAGEREF _Toc72496213 \h </w:instrText>
            </w:r>
            <w:r w:rsidR="00627BA3">
              <w:rPr>
                <w:noProof/>
                <w:webHidden/>
              </w:rPr>
            </w:r>
            <w:r w:rsidR="00627BA3">
              <w:rPr>
                <w:noProof/>
                <w:webHidden/>
              </w:rPr>
              <w:fldChar w:fldCharType="separate"/>
            </w:r>
            <w:r w:rsidR="00627BA3">
              <w:rPr>
                <w:noProof/>
                <w:webHidden/>
              </w:rPr>
              <w:t>16</w:t>
            </w:r>
            <w:r w:rsidR="00627BA3">
              <w:rPr>
                <w:noProof/>
                <w:webHidden/>
              </w:rPr>
              <w:fldChar w:fldCharType="end"/>
            </w:r>
          </w:hyperlink>
        </w:p>
        <w:p w14:paraId="4BEFA40F" w14:textId="5D3AF949" w:rsidR="00627BA3" w:rsidRDefault="00DD2680">
          <w:pPr>
            <w:pStyle w:val="TOC3"/>
            <w:rPr>
              <w:rFonts w:asciiTheme="minorHAnsi" w:eastAsiaTheme="minorEastAsia" w:hAnsiTheme="minorHAnsi"/>
              <w:noProof/>
              <w:sz w:val="22"/>
            </w:rPr>
          </w:pPr>
          <w:hyperlink w:anchor="_Toc72496214" w:history="1">
            <w:r w:rsidR="00627BA3" w:rsidRPr="00740B82">
              <w:rPr>
                <w:rStyle w:val="Hyperlink"/>
                <w:noProof/>
              </w:rPr>
              <w:t>1.</w:t>
            </w:r>
            <w:r w:rsidR="00627BA3">
              <w:rPr>
                <w:rFonts w:asciiTheme="minorHAnsi" w:eastAsiaTheme="minorEastAsia" w:hAnsiTheme="minorHAnsi"/>
                <w:noProof/>
                <w:sz w:val="22"/>
              </w:rPr>
              <w:tab/>
            </w:r>
            <w:r w:rsidR="00627BA3" w:rsidRPr="00740B82">
              <w:rPr>
                <w:rStyle w:val="Hyperlink"/>
                <w:noProof/>
              </w:rPr>
              <w:t>Engineering Constraints</w:t>
            </w:r>
            <w:r w:rsidR="00627BA3">
              <w:rPr>
                <w:noProof/>
                <w:webHidden/>
              </w:rPr>
              <w:tab/>
            </w:r>
            <w:r w:rsidR="00627BA3">
              <w:rPr>
                <w:noProof/>
                <w:webHidden/>
              </w:rPr>
              <w:fldChar w:fldCharType="begin"/>
            </w:r>
            <w:r w:rsidR="00627BA3">
              <w:rPr>
                <w:noProof/>
                <w:webHidden/>
              </w:rPr>
              <w:instrText xml:space="preserve"> PAGEREF _Toc72496214 \h </w:instrText>
            </w:r>
            <w:r w:rsidR="00627BA3">
              <w:rPr>
                <w:noProof/>
                <w:webHidden/>
              </w:rPr>
            </w:r>
            <w:r w:rsidR="00627BA3">
              <w:rPr>
                <w:noProof/>
                <w:webHidden/>
              </w:rPr>
              <w:fldChar w:fldCharType="separate"/>
            </w:r>
            <w:r w:rsidR="00627BA3">
              <w:rPr>
                <w:noProof/>
                <w:webHidden/>
              </w:rPr>
              <w:t>16</w:t>
            </w:r>
            <w:r w:rsidR="00627BA3">
              <w:rPr>
                <w:noProof/>
                <w:webHidden/>
              </w:rPr>
              <w:fldChar w:fldCharType="end"/>
            </w:r>
          </w:hyperlink>
        </w:p>
        <w:p w14:paraId="4375A559" w14:textId="245F7F3F" w:rsidR="00627BA3" w:rsidRDefault="00DD2680">
          <w:pPr>
            <w:pStyle w:val="TOC3"/>
            <w:rPr>
              <w:rFonts w:asciiTheme="minorHAnsi" w:eastAsiaTheme="minorEastAsia" w:hAnsiTheme="minorHAnsi"/>
              <w:noProof/>
              <w:sz w:val="22"/>
            </w:rPr>
          </w:pPr>
          <w:hyperlink w:anchor="_Toc72496215" w:history="1">
            <w:r w:rsidR="00627BA3" w:rsidRPr="00740B82">
              <w:rPr>
                <w:rStyle w:val="Hyperlink"/>
                <w:noProof/>
              </w:rPr>
              <w:t>2.</w:t>
            </w:r>
            <w:r w:rsidR="00627BA3">
              <w:rPr>
                <w:rFonts w:asciiTheme="minorHAnsi" w:eastAsiaTheme="minorEastAsia" w:hAnsiTheme="minorHAnsi"/>
                <w:noProof/>
                <w:sz w:val="22"/>
              </w:rPr>
              <w:tab/>
            </w:r>
            <w:r w:rsidR="00627BA3" w:rsidRPr="00740B82">
              <w:rPr>
                <w:rStyle w:val="Hyperlink"/>
                <w:noProof/>
              </w:rPr>
              <w:t>Cost</w:t>
            </w:r>
            <w:r w:rsidR="00627BA3">
              <w:rPr>
                <w:noProof/>
                <w:webHidden/>
              </w:rPr>
              <w:tab/>
            </w:r>
            <w:r w:rsidR="00627BA3">
              <w:rPr>
                <w:noProof/>
                <w:webHidden/>
              </w:rPr>
              <w:fldChar w:fldCharType="begin"/>
            </w:r>
            <w:r w:rsidR="00627BA3">
              <w:rPr>
                <w:noProof/>
                <w:webHidden/>
              </w:rPr>
              <w:instrText xml:space="preserve"> PAGEREF _Toc72496215 \h </w:instrText>
            </w:r>
            <w:r w:rsidR="00627BA3">
              <w:rPr>
                <w:noProof/>
                <w:webHidden/>
              </w:rPr>
            </w:r>
            <w:r w:rsidR="00627BA3">
              <w:rPr>
                <w:noProof/>
                <w:webHidden/>
              </w:rPr>
              <w:fldChar w:fldCharType="separate"/>
            </w:r>
            <w:r w:rsidR="00627BA3">
              <w:rPr>
                <w:noProof/>
                <w:webHidden/>
              </w:rPr>
              <w:t>16</w:t>
            </w:r>
            <w:r w:rsidR="00627BA3">
              <w:rPr>
                <w:noProof/>
                <w:webHidden/>
              </w:rPr>
              <w:fldChar w:fldCharType="end"/>
            </w:r>
          </w:hyperlink>
        </w:p>
        <w:p w14:paraId="13550F44" w14:textId="78D4FAE9" w:rsidR="00627BA3" w:rsidRDefault="00DD2680">
          <w:pPr>
            <w:pStyle w:val="TOC3"/>
            <w:rPr>
              <w:rFonts w:asciiTheme="minorHAnsi" w:eastAsiaTheme="minorEastAsia" w:hAnsiTheme="minorHAnsi"/>
              <w:noProof/>
              <w:sz w:val="22"/>
            </w:rPr>
          </w:pPr>
          <w:hyperlink w:anchor="_Toc72496216" w:history="1">
            <w:r w:rsidR="00627BA3" w:rsidRPr="00740B82">
              <w:rPr>
                <w:rStyle w:val="Hyperlink"/>
                <w:noProof/>
              </w:rPr>
              <w:t>3.</w:t>
            </w:r>
            <w:r w:rsidR="00627BA3">
              <w:rPr>
                <w:rFonts w:asciiTheme="minorHAnsi" w:eastAsiaTheme="minorEastAsia" w:hAnsiTheme="minorHAnsi"/>
                <w:noProof/>
                <w:sz w:val="22"/>
              </w:rPr>
              <w:tab/>
            </w:r>
            <w:r w:rsidR="00627BA3" w:rsidRPr="00740B82">
              <w:rPr>
                <w:rStyle w:val="Hyperlink"/>
                <w:noProof/>
              </w:rPr>
              <w:t>Moderation of Impact on Affected Community and Landowners</w:t>
            </w:r>
            <w:r w:rsidR="00627BA3">
              <w:rPr>
                <w:noProof/>
                <w:webHidden/>
              </w:rPr>
              <w:tab/>
            </w:r>
            <w:r w:rsidR="00627BA3">
              <w:rPr>
                <w:noProof/>
                <w:webHidden/>
              </w:rPr>
              <w:fldChar w:fldCharType="begin"/>
            </w:r>
            <w:r w:rsidR="00627BA3">
              <w:rPr>
                <w:noProof/>
                <w:webHidden/>
              </w:rPr>
              <w:instrText xml:space="preserve"> PAGEREF _Toc72496216 \h </w:instrText>
            </w:r>
            <w:r w:rsidR="00627BA3">
              <w:rPr>
                <w:noProof/>
                <w:webHidden/>
              </w:rPr>
            </w:r>
            <w:r w:rsidR="00627BA3">
              <w:rPr>
                <w:noProof/>
                <w:webHidden/>
              </w:rPr>
              <w:fldChar w:fldCharType="separate"/>
            </w:r>
            <w:r w:rsidR="00627BA3">
              <w:rPr>
                <w:noProof/>
                <w:webHidden/>
              </w:rPr>
              <w:t>17</w:t>
            </w:r>
            <w:r w:rsidR="00627BA3">
              <w:rPr>
                <w:noProof/>
                <w:webHidden/>
              </w:rPr>
              <w:fldChar w:fldCharType="end"/>
            </w:r>
          </w:hyperlink>
        </w:p>
        <w:p w14:paraId="41376591" w14:textId="60485654" w:rsidR="00627BA3" w:rsidRDefault="00DD2680">
          <w:pPr>
            <w:pStyle w:val="TOC4"/>
            <w:rPr>
              <w:rFonts w:asciiTheme="minorHAnsi" w:eastAsiaTheme="minorEastAsia" w:hAnsiTheme="minorHAnsi"/>
              <w:noProof/>
              <w:sz w:val="22"/>
            </w:rPr>
          </w:pPr>
          <w:hyperlink w:anchor="_Toc72496217" w:history="1">
            <w:r w:rsidR="00627BA3" w:rsidRPr="00740B82">
              <w:rPr>
                <w:rStyle w:val="Hyperlink"/>
                <w:noProof/>
              </w:rPr>
              <w:t>a.</w:t>
            </w:r>
            <w:r w:rsidR="00627BA3">
              <w:rPr>
                <w:rFonts w:asciiTheme="minorHAnsi" w:eastAsiaTheme="minorEastAsia" w:hAnsiTheme="minorHAnsi"/>
                <w:noProof/>
                <w:sz w:val="22"/>
              </w:rPr>
              <w:tab/>
            </w:r>
            <w:r w:rsidR="00627BA3" w:rsidRPr="00740B82">
              <w:rPr>
                <w:rStyle w:val="Hyperlink"/>
                <w:noProof/>
              </w:rPr>
              <w:t>Anaqua Springs Guardhouse</w:t>
            </w:r>
            <w:r w:rsidR="00627BA3">
              <w:rPr>
                <w:noProof/>
                <w:webHidden/>
              </w:rPr>
              <w:tab/>
            </w:r>
            <w:r w:rsidR="00627BA3">
              <w:rPr>
                <w:noProof/>
                <w:webHidden/>
              </w:rPr>
              <w:fldChar w:fldCharType="begin"/>
            </w:r>
            <w:r w:rsidR="00627BA3">
              <w:rPr>
                <w:noProof/>
                <w:webHidden/>
              </w:rPr>
              <w:instrText xml:space="preserve"> PAGEREF _Toc72496217 \h </w:instrText>
            </w:r>
            <w:r w:rsidR="00627BA3">
              <w:rPr>
                <w:noProof/>
                <w:webHidden/>
              </w:rPr>
            </w:r>
            <w:r w:rsidR="00627BA3">
              <w:rPr>
                <w:noProof/>
                <w:webHidden/>
              </w:rPr>
              <w:fldChar w:fldCharType="separate"/>
            </w:r>
            <w:r w:rsidR="00627BA3">
              <w:rPr>
                <w:noProof/>
                <w:webHidden/>
              </w:rPr>
              <w:t>18</w:t>
            </w:r>
            <w:r w:rsidR="00627BA3">
              <w:rPr>
                <w:noProof/>
                <w:webHidden/>
              </w:rPr>
              <w:fldChar w:fldCharType="end"/>
            </w:r>
          </w:hyperlink>
        </w:p>
        <w:p w14:paraId="0540388E" w14:textId="4E9DC797" w:rsidR="00627BA3" w:rsidRDefault="00DD2680">
          <w:pPr>
            <w:pStyle w:val="TOC4"/>
            <w:rPr>
              <w:rFonts w:asciiTheme="minorHAnsi" w:eastAsiaTheme="minorEastAsia" w:hAnsiTheme="minorHAnsi"/>
              <w:noProof/>
              <w:sz w:val="22"/>
            </w:rPr>
          </w:pPr>
          <w:hyperlink w:anchor="_Toc72496218" w:history="1">
            <w:r w:rsidR="00627BA3" w:rsidRPr="00740B82">
              <w:rPr>
                <w:rStyle w:val="Hyperlink"/>
                <w:noProof/>
              </w:rPr>
              <w:t>b.</w:t>
            </w:r>
            <w:r w:rsidR="00627BA3">
              <w:rPr>
                <w:rFonts w:asciiTheme="minorHAnsi" w:eastAsiaTheme="minorEastAsia" w:hAnsiTheme="minorHAnsi"/>
                <w:noProof/>
                <w:sz w:val="22"/>
              </w:rPr>
              <w:tab/>
            </w:r>
            <w:r w:rsidR="00627BA3" w:rsidRPr="00740B82">
              <w:rPr>
                <w:rStyle w:val="Hyperlink"/>
                <w:noProof/>
              </w:rPr>
              <w:t>Segments 38, 39, and 43</w:t>
            </w:r>
            <w:r w:rsidR="00627BA3">
              <w:rPr>
                <w:noProof/>
                <w:webHidden/>
              </w:rPr>
              <w:tab/>
            </w:r>
            <w:r w:rsidR="00627BA3">
              <w:rPr>
                <w:noProof/>
                <w:webHidden/>
              </w:rPr>
              <w:fldChar w:fldCharType="begin"/>
            </w:r>
            <w:r w:rsidR="00627BA3">
              <w:rPr>
                <w:noProof/>
                <w:webHidden/>
              </w:rPr>
              <w:instrText xml:space="preserve"> PAGEREF _Toc72496218 \h </w:instrText>
            </w:r>
            <w:r w:rsidR="00627BA3">
              <w:rPr>
                <w:noProof/>
                <w:webHidden/>
              </w:rPr>
            </w:r>
            <w:r w:rsidR="00627BA3">
              <w:rPr>
                <w:noProof/>
                <w:webHidden/>
              </w:rPr>
              <w:fldChar w:fldCharType="separate"/>
            </w:r>
            <w:r w:rsidR="00627BA3">
              <w:rPr>
                <w:noProof/>
                <w:webHidden/>
              </w:rPr>
              <w:t>18</w:t>
            </w:r>
            <w:r w:rsidR="00627BA3">
              <w:rPr>
                <w:noProof/>
                <w:webHidden/>
              </w:rPr>
              <w:fldChar w:fldCharType="end"/>
            </w:r>
          </w:hyperlink>
        </w:p>
        <w:p w14:paraId="0BC66100" w14:textId="1E25FD5A" w:rsidR="00627BA3" w:rsidRDefault="00DD2680">
          <w:pPr>
            <w:pStyle w:val="TOC4"/>
            <w:rPr>
              <w:rFonts w:asciiTheme="minorHAnsi" w:eastAsiaTheme="minorEastAsia" w:hAnsiTheme="minorHAnsi"/>
              <w:noProof/>
              <w:sz w:val="22"/>
            </w:rPr>
          </w:pPr>
          <w:hyperlink w:anchor="_Toc72496219" w:history="1">
            <w:r w:rsidR="00627BA3" w:rsidRPr="00740B82">
              <w:rPr>
                <w:rStyle w:val="Hyperlink"/>
                <w:noProof/>
              </w:rPr>
              <w:t>c.</w:t>
            </w:r>
            <w:r w:rsidR="00627BA3">
              <w:rPr>
                <w:rFonts w:asciiTheme="minorHAnsi" w:eastAsiaTheme="minorEastAsia" w:hAnsiTheme="minorHAnsi"/>
                <w:noProof/>
                <w:sz w:val="22"/>
              </w:rPr>
              <w:tab/>
            </w:r>
            <w:r w:rsidR="00627BA3" w:rsidRPr="00740B82">
              <w:rPr>
                <w:rStyle w:val="Hyperlink"/>
                <w:noProof/>
              </w:rPr>
              <w:t>Segment 54</w:t>
            </w:r>
            <w:r w:rsidR="00627BA3">
              <w:rPr>
                <w:noProof/>
                <w:webHidden/>
              </w:rPr>
              <w:tab/>
            </w:r>
            <w:r w:rsidR="00627BA3">
              <w:rPr>
                <w:noProof/>
                <w:webHidden/>
              </w:rPr>
              <w:fldChar w:fldCharType="begin"/>
            </w:r>
            <w:r w:rsidR="00627BA3">
              <w:rPr>
                <w:noProof/>
                <w:webHidden/>
              </w:rPr>
              <w:instrText xml:space="preserve"> PAGEREF _Toc72496219 \h </w:instrText>
            </w:r>
            <w:r w:rsidR="00627BA3">
              <w:rPr>
                <w:noProof/>
                <w:webHidden/>
              </w:rPr>
            </w:r>
            <w:r w:rsidR="00627BA3">
              <w:rPr>
                <w:noProof/>
                <w:webHidden/>
              </w:rPr>
              <w:fldChar w:fldCharType="separate"/>
            </w:r>
            <w:r w:rsidR="00627BA3">
              <w:rPr>
                <w:noProof/>
                <w:webHidden/>
              </w:rPr>
              <w:t>20</w:t>
            </w:r>
            <w:r w:rsidR="00627BA3">
              <w:rPr>
                <w:noProof/>
                <w:webHidden/>
              </w:rPr>
              <w:fldChar w:fldCharType="end"/>
            </w:r>
          </w:hyperlink>
        </w:p>
        <w:p w14:paraId="5484066E" w14:textId="2A4BF194" w:rsidR="00627BA3" w:rsidRDefault="00DD2680">
          <w:pPr>
            <w:pStyle w:val="TOC4"/>
            <w:rPr>
              <w:rFonts w:asciiTheme="minorHAnsi" w:eastAsiaTheme="minorEastAsia" w:hAnsiTheme="minorHAnsi"/>
              <w:noProof/>
              <w:sz w:val="22"/>
            </w:rPr>
          </w:pPr>
          <w:hyperlink w:anchor="_Toc72496220" w:history="1">
            <w:r w:rsidR="00627BA3" w:rsidRPr="00740B82">
              <w:rPr>
                <w:rStyle w:val="Hyperlink"/>
                <w:noProof/>
              </w:rPr>
              <w:t>d.</w:t>
            </w:r>
            <w:r w:rsidR="00627BA3">
              <w:rPr>
                <w:rFonts w:asciiTheme="minorHAnsi" w:eastAsiaTheme="minorEastAsia" w:hAnsiTheme="minorHAnsi"/>
                <w:noProof/>
                <w:sz w:val="22"/>
              </w:rPr>
              <w:tab/>
            </w:r>
            <w:r w:rsidR="00627BA3" w:rsidRPr="00740B82">
              <w:rPr>
                <w:rStyle w:val="Hyperlink"/>
                <w:noProof/>
              </w:rPr>
              <w:t>Landowner groups and actual impact</w:t>
            </w:r>
            <w:r w:rsidR="00627BA3">
              <w:rPr>
                <w:noProof/>
                <w:webHidden/>
              </w:rPr>
              <w:tab/>
            </w:r>
            <w:r w:rsidR="00627BA3">
              <w:rPr>
                <w:noProof/>
                <w:webHidden/>
              </w:rPr>
              <w:fldChar w:fldCharType="begin"/>
            </w:r>
            <w:r w:rsidR="00627BA3">
              <w:rPr>
                <w:noProof/>
                <w:webHidden/>
              </w:rPr>
              <w:instrText xml:space="preserve"> PAGEREF _Toc72496220 \h </w:instrText>
            </w:r>
            <w:r w:rsidR="00627BA3">
              <w:rPr>
                <w:noProof/>
                <w:webHidden/>
              </w:rPr>
            </w:r>
            <w:r w:rsidR="00627BA3">
              <w:rPr>
                <w:noProof/>
                <w:webHidden/>
              </w:rPr>
              <w:fldChar w:fldCharType="separate"/>
            </w:r>
            <w:r w:rsidR="00627BA3">
              <w:rPr>
                <w:noProof/>
                <w:webHidden/>
              </w:rPr>
              <w:t>20</w:t>
            </w:r>
            <w:r w:rsidR="00627BA3">
              <w:rPr>
                <w:noProof/>
                <w:webHidden/>
              </w:rPr>
              <w:fldChar w:fldCharType="end"/>
            </w:r>
          </w:hyperlink>
        </w:p>
        <w:p w14:paraId="67F78419" w14:textId="266F67EF" w:rsidR="00627BA3" w:rsidRDefault="00DD2680">
          <w:pPr>
            <w:pStyle w:val="TOC3"/>
            <w:rPr>
              <w:rFonts w:asciiTheme="minorHAnsi" w:eastAsiaTheme="minorEastAsia" w:hAnsiTheme="minorHAnsi"/>
              <w:noProof/>
              <w:sz w:val="22"/>
            </w:rPr>
          </w:pPr>
          <w:hyperlink w:anchor="_Toc72496221" w:history="1">
            <w:r w:rsidR="00627BA3" w:rsidRPr="00740B82">
              <w:rPr>
                <w:rStyle w:val="Hyperlink"/>
                <w:noProof/>
              </w:rPr>
              <w:t>4.</w:t>
            </w:r>
            <w:r w:rsidR="00627BA3">
              <w:rPr>
                <w:rFonts w:asciiTheme="minorHAnsi" w:eastAsiaTheme="minorEastAsia" w:hAnsiTheme="minorHAnsi"/>
                <w:noProof/>
                <w:sz w:val="22"/>
              </w:rPr>
              <w:tab/>
            </w:r>
            <w:r w:rsidR="00627BA3" w:rsidRPr="00740B82">
              <w:rPr>
                <w:rStyle w:val="Hyperlink"/>
                <w:noProof/>
              </w:rPr>
              <w:t>Use of Compatible Rights-of-Way, Paralleling Existing Rights-of-Way</w:t>
            </w:r>
            <w:r w:rsidR="00627BA3">
              <w:rPr>
                <w:noProof/>
                <w:webHidden/>
              </w:rPr>
              <w:tab/>
            </w:r>
            <w:r w:rsidR="00627BA3">
              <w:rPr>
                <w:noProof/>
                <w:webHidden/>
              </w:rPr>
              <w:fldChar w:fldCharType="begin"/>
            </w:r>
            <w:r w:rsidR="00627BA3">
              <w:rPr>
                <w:noProof/>
                <w:webHidden/>
              </w:rPr>
              <w:instrText xml:space="preserve"> PAGEREF _Toc72496221 \h </w:instrText>
            </w:r>
            <w:r w:rsidR="00627BA3">
              <w:rPr>
                <w:noProof/>
                <w:webHidden/>
              </w:rPr>
            </w:r>
            <w:r w:rsidR="00627BA3">
              <w:rPr>
                <w:noProof/>
                <w:webHidden/>
              </w:rPr>
              <w:fldChar w:fldCharType="separate"/>
            </w:r>
            <w:r w:rsidR="00627BA3">
              <w:rPr>
                <w:noProof/>
                <w:webHidden/>
              </w:rPr>
              <w:t>23</w:t>
            </w:r>
            <w:r w:rsidR="00627BA3">
              <w:rPr>
                <w:noProof/>
                <w:webHidden/>
              </w:rPr>
              <w:fldChar w:fldCharType="end"/>
            </w:r>
          </w:hyperlink>
        </w:p>
        <w:p w14:paraId="1D93A0A1" w14:textId="332AA8DB" w:rsidR="00627BA3" w:rsidRDefault="00DD2680">
          <w:pPr>
            <w:pStyle w:val="TOC3"/>
            <w:rPr>
              <w:rFonts w:asciiTheme="minorHAnsi" w:eastAsiaTheme="minorEastAsia" w:hAnsiTheme="minorHAnsi"/>
              <w:noProof/>
              <w:sz w:val="22"/>
            </w:rPr>
          </w:pPr>
          <w:hyperlink w:anchor="_Toc72496222" w:history="1">
            <w:r w:rsidR="00627BA3" w:rsidRPr="00740B82">
              <w:rPr>
                <w:rStyle w:val="Hyperlink"/>
                <w:noProof/>
              </w:rPr>
              <w:t>5.</w:t>
            </w:r>
            <w:r w:rsidR="00627BA3">
              <w:rPr>
                <w:rFonts w:asciiTheme="minorHAnsi" w:eastAsiaTheme="minorEastAsia" w:hAnsiTheme="minorHAnsi"/>
                <w:noProof/>
                <w:sz w:val="22"/>
              </w:rPr>
              <w:tab/>
            </w:r>
            <w:r w:rsidR="00627BA3" w:rsidRPr="00740B82">
              <w:rPr>
                <w:rStyle w:val="Hyperlink"/>
                <w:noProof/>
              </w:rPr>
              <w:t>Prudent Avoidance</w:t>
            </w:r>
            <w:r w:rsidR="00627BA3">
              <w:rPr>
                <w:noProof/>
                <w:webHidden/>
              </w:rPr>
              <w:tab/>
            </w:r>
            <w:r w:rsidR="00627BA3">
              <w:rPr>
                <w:noProof/>
                <w:webHidden/>
              </w:rPr>
              <w:fldChar w:fldCharType="begin"/>
            </w:r>
            <w:r w:rsidR="00627BA3">
              <w:rPr>
                <w:noProof/>
                <w:webHidden/>
              </w:rPr>
              <w:instrText xml:space="preserve"> PAGEREF _Toc72496222 \h </w:instrText>
            </w:r>
            <w:r w:rsidR="00627BA3">
              <w:rPr>
                <w:noProof/>
                <w:webHidden/>
              </w:rPr>
            </w:r>
            <w:r w:rsidR="00627BA3">
              <w:rPr>
                <w:noProof/>
                <w:webHidden/>
              </w:rPr>
              <w:fldChar w:fldCharType="separate"/>
            </w:r>
            <w:r w:rsidR="00627BA3">
              <w:rPr>
                <w:noProof/>
                <w:webHidden/>
              </w:rPr>
              <w:t>24</w:t>
            </w:r>
            <w:r w:rsidR="00627BA3">
              <w:rPr>
                <w:noProof/>
                <w:webHidden/>
              </w:rPr>
              <w:fldChar w:fldCharType="end"/>
            </w:r>
          </w:hyperlink>
        </w:p>
        <w:p w14:paraId="43860965" w14:textId="22ABD2B7" w:rsidR="00627BA3" w:rsidRDefault="00DD2680" w:rsidP="00455FA1">
          <w:pPr>
            <w:pStyle w:val="TOC1"/>
            <w:ind w:left="720" w:hanging="720"/>
            <w:rPr>
              <w:rFonts w:asciiTheme="minorHAnsi" w:hAnsiTheme="minorHAnsi"/>
              <w:sz w:val="22"/>
            </w:rPr>
          </w:pPr>
          <w:hyperlink w:anchor="_Toc72496223" w:history="1">
            <w:r w:rsidR="00627BA3" w:rsidRPr="00740B82">
              <w:rPr>
                <w:rStyle w:val="Hyperlink"/>
              </w:rPr>
              <w:t>V.</w:t>
            </w:r>
            <w:r w:rsidR="00627BA3">
              <w:rPr>
                <w:rFonts w:asciiTheme="minorHAnsi" w:hAnsiTheme="minorHAnsi"/>
                <w:sz w:val="22"/>
              </w:rPr>
              <w:tab/>
            </w:r>
            <w:r w:rsidR="00627BA3" w:rsidRPr="00740B82">
              <w:rPr>
                <w:rStyle w:val="Hyperlink"/>
              </w:rPr>
              <w:t>PRELIMINARY ORDER ISSUE NO. 5 Are there alternative routes or facilities configurations that would have a less negative impact on landowners? What would be the incremental cost of those routes?</w:t>
            </w:r>
            <w:r w:rsidR="00627BA3">
              <w:rPr>
                <w:webHidden/>
              </w:rPr>
              <w:tab/>
            </w:r>
            <w:r w:rsidR="00627BA3">
              <w:rPr>
                <w:webHidden/>
              </w:rPr>
              <w:fldChar w:fldCharType="begin"/>
            </w:r>
            <w:r w:rsidR="00627BA3">
              <w:rPr>
                <w:webHidden/>
              </w:rPr>
              <w:instrText xml:space="preserve"> PAGEREF _Toc72496223 \h </w:instrText>
            </w:r>
            <w:r w:rsidR="00627BA3">
              <w:rPr>
                <w:webHidden/>
              </w:rPr>
            </w:r>
            <w:r w:rsidR="00627BA3">
              <w:rPr>
                <w:webHidden/>
              </w:rPr>
              <w:fldChar w:fldCharType="separate"/>
            </w:r>
            <w:r w:rsidR="00627BA3">
              <w:rPr>
                <w:webHidden/>
              </w:rPr>
              <w:t>24</w:t>
            </w:r>
            <w:r w:rsidR="00627BA3">
              <w:rPr>
                <w:webHidden/>
              </w:rPr>
              <w:fldChar w:fldCharType="end"/>
            </w:r>
          </w:hyperlink>
        </w:p>
        <w:p w14:paraId="0823376B" w14:textId="7541D5DD" w:rsidR="00627BA3" w:rsidRDefault="00DD2680">
          <w:pPr>
            <w:pStyle w:val="TOC1"/>
            <w:rPr>
              <w:rFonts w:asciiTheme="minorHAnsi" w:hAnsiTheme="minorHAnsi"/>
              <w:sz w:val="22"/>
            </w:rPr>
          </w:pPr>
          <w:hyperlink w:anchor="_Toc72496224" w:history="1">
            <w:r w:rsidR="00627BA3" w:rsidRPr="00740B82">
              <w:rPr>
                <w:rStyle w:val="Hyperlink"/>
              </w:rPr>
              <w:t>VI.</w:t>
            </w:r>
            <w:r w:rsidR="00627BA3">
              <w:rPr>
                <w:rFonts w:asciiTheme="minorHAnsi" w:hAnsiTheme="minorHAnsi"/>
                <w:sz w:val="22"/>
              </w:rPr>
              <w:tab/>
            </w:r>
            <w:r w:rsidR="00627BA3" w:rsidRPr="00740B82">
              <w:rPr>
                <w:rStyle w:val="Hyperlink"/>
              </w:rPr>
              <w:t>CONCLUSION</w:t>
            </w:r>
            <w:r w:rsidR="00627BA3">
              <w:rPr>
                <w:webHidden/>
              </w:rPr>
              <w:tab/>
            </w:r>
            <w:r w:rsidR="00627BA3">
              <w:rPr>
                <w:webHidden/>
              </w:rPr>
              <w:fldChar w:fldCharType="begin"/>
            </w:r>
            <w:r w:rsidR="00627BA3">
              <w:rPr>
                <w:webHidden/>
              </w:rPr>
              <w:instrText xml:space="preserve"> PAGEREF _Toc72496224 \h </w:instrText>
            </w:r>
            <w:r w:rsidR="00627BA3">
              <w:rPr>
                <w:webHidden/>
              </w:rPr>
            </w:r>
            <w:r w:rsidR="00627BA3">
              <w:rPr>
                <w:webHidden/>
              </w:rPr>
              <w:fldChar w:fldCharType="separate"/>
            </w:r>
            <w:r w:rsidR="00627BA3">
              <w:rPr>
                <w:webHidden/>
              </w:rPr>
              <w:t>25</w:t>
            </w:r>
            <w:r w:rsidR="00627BA3">
              <w:rPr>
                <w:webHidden/>
              </w:rPr>
              <w:fldChar w:fldCharType="end"/>
            </w:r>
          </w:hyperlink>
        </w:p>
        <w:p w14:paraId="31F77100" w14:textId="4A11C189" w:rsidR="00C76A5F" w:rsidRDefault="00C76A5F" w:rsidP="00C60F88">
          <w:pPr>
            <w:pStyle w:val="TOC1"/>
          </w:pPr>
          <w:r>
            <w:fldChar w:fldCharType="end"/>
          </w:r>
          <w:r w:rsidR="00C60F88">
            <w:t>CERTIFICATE OF SERVICE</w:t>
          </w:r>
          <w:r w:rsidR="00C60F88">
            <w:tab/>
            <w:t>26</w:t>
          </w:r>
        </w:p>
        <w:p w14:paraId="7926E827" w14:textId="30FCEA4B" w:rsidR="00A66AC9" w:rsidRPr="00C76A5F" w:rsidRDefault="00C60F88" w:rsidP="00C60F88">
          <w:pPr>
            <w:tabs>
              <w:tab w:val="right" w:leader="dot" w:pos="9360"/>
            </w:tabs>
          </w:pPr>
          <w:r>
            <w:t>ATTACHMENT 1</w:t>
          </w:r>
          <w:r>
            <w:tab/>
            <w:t>27</w:t>
          </w:r>
        </w:p>
      </w:sdtContent>
    </w:sdt>
    <w:p w14:paraId="54F936C4" w14:textId="77777777" w:rsidR="00BA7DEC" w:rsidRDefault="00BA7DEC">
      <w:pPr>
        <w:rPr>
          <w:rFonts w:eastAsia="Times New Roman" w:cs="Times New Roman"/>
          <w:b/>
          <w:szCs w:val="24"/>
        </w:rPr>
      </w:pPr>
      <w:r>
        <w:br w:type="page"/>
      </w:r>
    </w:p>
    <w:p w14:paraId="13FEAB6A" w14:textId="356A9595" w:rsidR="00416BD7" w:rsidRPr="00447F8F" w:rsidRDefault="00416BD7" w:rsidP="009E5BEB">
      <w:pPr>
        <w:pStyle w:val="CROutline1"/>
        <w:ind w:left="720"/>
      </w:pPr>
      <w:bookmarkStart w:id="0" w:name="_Toc72496196"/>
      <w:r w:rsidRPr="00447F8F">
        <w:lastRenderedPageBreak/>
        <w:t>INTRODUCTION</w:t>
      </w:r>
      <w:bookmarkEnd w:id="0"/>
    </w:p>
    <w:p w14:paraId="7C85792C" w14:textId="590DD361" w:rsidR="00015ED1" w:rsidRDefault="00015ED1"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447F8F">
        <w:rPr>
          <w:rFonts w:cs="Times New Roman"/>
          <w:szCs w:val="24"/>
        </w:rPr>
        <w:t xml:space="preserve">Anaqua Springs Homeowners’ Association </w:t>
      </w:r>
      <w:r w:rsidR="008E19D9">
        <w:rPr>
          <w:rFonts w:cs="Times New Roman"/>
          <w:szCs w:val="24"/>
        </w:rPr>
        <w:t xml:space="preserve">(“Anaqua Springs HOA”) </w:t>
      </w:r>
      <w:r w:rsidR="00447F8F">
        <w:rPr>
          <w:rFonts w:cs="Times New Roman"/>
          <w:szCs w:val="24"/>
        </w:rPr>
        <w:t xml:space="preserve">is an organization composed of individual </w:t>
      </w:r>
      <w:r w:rsidR="00B87DF5">
        <w:rPr>
          <w:rFonts w:cs="Times New Roman"/>
          <w:szCs w:val="24"/>
        </w:rPr>
        <w:t>homeowners</w:t>
      </w:r>
      <w:r w:rsidR="00447F8F">
        <w:rPr>
          <w:rFonts w:cs="Times New Roman"/>
          <w:szCs w:val="24"/>
        </w:rPr>
        <w:t xml:space="preserve"> within the Anaqua </w:t>
      </w:r>
      <w:r w:rsidR="00B87DF5">
        <w:rPr>
          <w:rFonts w:cs="Times New Roman"/>
          <w:szCs w:val="24"/>
        </w:rPr>
        <w:t>Springs</w:t>
      </w:r>
      <w:r w:rsidR="00447F8F">
        <w:rPr>
          <w:rFonts w:cs="Times New Roman"/>
          <w:szCs w:val="24"/>
        </w:rPr>
        <w:t xml:space="preserve"> subdivision</w:t>
      </w:r>
      <w:r w:rsidR="002E17D0">
        <w:rPr>
          <w:rFonts w:cs="Times New Roman"/>
          <w:szCs w:val="24"/>
        </w:rPr>
        <w:t xml:space="preserve"> (“Anaqua Springs”)</w:t>
      </w:r>
      <w:r w:rsidR="00447F8F">
        <w:rPr>
          <w:rFonts w:cs="Times New Roman"/>
          <w:szCs w:val="24"/>
        </w:rPr>
        <w:t>.</w:t>
      </w:r>
      <w:r w:rsidR="002A1BCA">
        <w:rPr>
          <w:rFonts w:cs="Times New Roman"/>
          <w:szCs w:val="24"/>
        </w:rPr>
        <w:t xml:space="preserve">  The subdivision is bordered on the northeast by Toutant Beauregard Road</w:t>
      </w:r>
      <w:r w:rsidR="00F27DBE">
        <w:rPr>
          <w:rFonts w:cs="Times New Roman"/>
          <w:szCs w:val="24"/>
        </w:rPr>
        <w:t xml:space="preserve"> (“Toutant”)</w:t>
      </w:r>
      <w:r w:rsidR="002A1BCA">
        <w:rPr>
          <w:rFonts w:cs="Times New Roman"/>
          <w:szCs w:val="24"/>
        </w:rPr>
        <w:t xml:space="preserve"> and on the </w:t>
      </w:r>
      <w:r w:rsidR="00EC1370">
        <w:rPr>
          <w:rFonts w:cs="Times New Roman"/>
          <w:szCs w:val="24"/>
        </w:rPr>
        <w:t>south by Bexar Ranch</w:t>
      </w:r>
      <w:r w:rsidR="00FA2F8F">
        <w:rPr>
          <w:rFonts w:cs="Times New Roman"/>
          <w:szCs w:val="24"/>
        </w:rPr>
        <w:t xml:space="preserve">  L.P.</w:t>
      </w:r>
      <w:r w:rsidR="00C60F88">
        <w:rPr>
          <w:rFonts w:cs="Times New Roman"/>
          <w:szCs w:val="24"/>
        </w:rPr>
        <w:t xml:space="preserve"> (“Bexar Ranch”)</w:t>
      </w:r>
      <w:r w:rsidR="00EC1370">
        <w:rPr>
          <w:rFonts w:cs="Times New Roman"/>
          <w:szCs w:val="24"/>
        </w:rPr>
        <w:t xml:space="preserve"> and The Canyons subdivision.</w:t>
      </w:r>
      <w:r w:rsidR="00023A6C">
        <w:rPr>
          <w:rFonts w:cs="Times New Roman"/>
          <w:szCs w:val="24"/>
        </w:rPr>
        <w:t xml:space="preserve">  Segment 36 runs through the entrance at Anaqua Springs, and the right-of-way is located over Anaqua Springs</w:t>
      </w:r>
      <w:r w:rsidR="00CA7E63">
        <w:rPr>
          <w:rFonts w:cs="Times New Roman"/>
          <w:szCs w:val="24"/>
        </w:rPr>
        <w:t>’</w:t>
      </w:r>
      <w:r w:rsidR="00023A6C">
        <w:rPr>
          <w:rFonts w:cs="Times New Roman"/>
          <w:szCs w:val="24"/>
        </w:rPr>
        <w:t xml:space="preserve"> dedicated parkland.  Segments 38</w:t>
      </w:r>
      <w:r w:rsidR="00D75B00">
        <w:rPr>
          <w:rFonts w:cs="Times New Roman"/>
          <w:szCs w:val="24"/>
        </w:rPr>
        <w:t>, 39,</w:t>
      </w:r>
      <w:r w:rsidR="00023A6C">
        <w:rPr>
          <w:rFonts w:cs="Times New Roman"/>
          <w:szCs w:val="24"/>
        </w:rPr>
        <w:t xml:space="preserve"> and 43 run </w:t>
      </w:r>
      <w:r w:rsidR="004311F0">
        <w:rPr>
          <w:rFonts w:cs="Times New Roman"/>
          <w:szCs w:val="24"/>
        </w:rPr>
        <w:t>closer</w:t>
      </w:r>
      <w:r w:rsidR="00023A6C">
        <w:rPr>
          <w:rFonts w:cs="Times New Roman"/>
          <w:szCs w:val="24"/>
        </w:rPr>
        <w:t xml:space="preserve"> than 300 feet </w:t>
      </w:r>
      <w:r w:rsidR="00D75B00">
        <w:rPr>
          <w:rFonts w:cs="Times New Roman"/>
          <w:szCs w:val="24"/>
        </w:rPr>
        <w:t>from</w:t>
      </w:r>
      <w:r w:rsidR="00023A6C">
        <w:rPr>
          <w:rFonts w:cs="Times New Roman"/>
          <w:szCs w:val="24"/>
        </w:rPr>
        <w:t xml:space="preserve"> homes of the members of Anaqua Springs HOA.</w:t>
      </w:r>
    </w:p>
    <w:p w14:paraId="014A34D7" w14:textId="0588BE65" w:rsidR="00D73AA7" w:rsidRDefault="004B332F"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Anaqua Springs HOA </w:t>
      </w:r>
      <w:r w:rsidR="004C5459">
        <w:rPr>
          <w:rFonts w:cs="Times New Roman"/>
          <w:szCs w:val="24"/>
        </w:rPr>
        <w:t>strongly opposes any route that runs along Toutant</w:t>
      </w:r>
      <w:r>
        <w:rPr>
          <w:rFonts w:cs="Times New Roman"/>
          <w:szCs w:val="24"/>
        </w:rPr>
        <w:t>.</w:t>
      </w:r>
      <w:r w:rsidR="000E3EFE">
        <w:rPr>
          <w:rStyle w:val="FootnoteReference"/>
          <w:rFonts w:cs="Times New Roman"/>
          <w:szCs w:val="24"/>
        </w:rPr>
        <w:footnoteReference w:id="1"/>
      </w:r>
      <w:r>
        <w:rPr>
          <w:rFonts w:cs="Times New Roman"/>
          <w:szCs w:val="24"/>
        </w:rPr>
        <w:t xml:space="preserve">  </w:t>
      </w:r>
      <w:r w:rsidR="005C5490">
        <w:rPr>
          <w:rFonts w:cs="Times New Roman"/>
          <w:szCs w:val="24"/>
        </w:rPr>
        <w:t>Routes utilizing Toutant suffer from significant routing constraints that</w:t>
      </w:r>
      <w:r w:rsidR="00FE6AA0">
        <w:rPr>
          <w:rFonts w:cs="Times New Roman"/>
          <w:szCs w:val="24"/>
        </w:rPr>
        <w:t xml:space="preserve"> </w:t>
      </w:r>
      <w:r w:rsidR="005C5490">
        <w:rPr>
          <w:rFonts w:cs="Times New Roman"/>
          <w:szCs w:val="24"/>
        </w:rPr>
        <w:t>call into question routing costs and safety along those segments.</w:t>
      </w:r>
      <w:r w:rsidR="006A6A6A">
        <w:rPr>
          <w:rFonts w:cs="Times New Roman"/>
          <w:szCs w:val="24"/>
        </w:rPr>
        <w:t xml:space="preserve"> </w:t>
      </w:r>
      <w:r w:rsidR="009A45B9">
        <w:rPr>
          <w:rFonts w:cs="Times New Roman"/>
          <w:szCs w:val="24"/>
        </w:rPr>
        <w:t xml:space="preserve"> </w:t>
      </w:r>
      <w:r w:rsidR="004C5459">
        <w:rPr>
          <w:rFonts w:cs="Times New Roman"/>
          <w:szCs w:val="24"/>
        </w:rPr>
        <w:t xml:space="preserve">They have the </w:t>
      </w:r>
      <w:r w:rsidR="00D75B00">
        <w:rPr>
          <w:rFonts w:cs="Times New Roman"/>
          <w:szCs w:val="24"/>
        </w:rPr>
        <w:t>highest</w:t>
      </w:r>
      <w:r w:rsidR="004C5459">
        <w:rPr>
          <w:rFonts w:cs="Times New Roman"/>
          <w:szCs w:val="24"/>
        </w:rPr>
        <w:t xml:space="preserve"> habitable structure counts</w:t>
      </w:r>
      <w:r w:rsidR="00D75B00">
        <w:rPr>
          <w:rFonts w:cs="Times New Roman"/>
          <w:szCs w:val="24"/>
        </w:rPr>
        <w:t>.  Specifically,</w:t>
      </w:r>
      <w:r w:rsidR="004C5459">
        <w:rPr>
          <w:rFonts w:cs="Times New Roman"/>
          <w:szCs w:val="24"/>
        </w:rPr>
        <w:t xml:space="preserve"> </w:t>
      </w:r>
      <w:r w:rsidR="004C5459" w:rsidRPr="00F45B29">
        <w:rPr>
          <w:rFonts w:cs="Times New Roman"/>
          <w:i/>
          <w:iCs/>
          <w:szCs w:val="24"/>
        </w:rPr>
        <w:t>Segment</w:t>
      </w:r>
      <w:r w:rsidR="004C5459">
        <w:rPr>
          <w:rFonts w:cs="Times New Roman"/>
          <w:szCs w:val="24"/>
        </w:rPr>
        <w:t xml:space="preserve"> 54 has more </w:t>
      </w:r>
      <w:r w:rsidR="00D26324">
        <w:rPr>
          <w:rFonts w:cs="Times New Roman"/>
          <w:szCs w:val="24"/>
        </w:rPr>
        <w:t>habitable</w:t>
      </w:r>
      <w:r w:rsidR="004C5459">
        <w:rPr>
          <w:rFonts w:cs="Times New Roman"/>
          <w:szCs w:val="24"/>
        </w:rPr>
        <w:t xml:space="preserve"> structures on it alone than do some of the other </w:t>
      </w:r>
      <w:r w:rsidR="004C5459" w:rsidRPr="00F45B29">
        <w:rPr>
          <w:rFonts w:cs="Times New Roman"/>
          <w:i/>
          <w:iCs/>
          <w:szCs w:val="24"/>
        </w:rPr>
        <w:t>routes</w:t>
      </w:r>
      <w:r w:rsidR="004C5459">
        <w:rPr>
          <w:rFonts w:cs="Times New Roman"/>
          <w:szCs w:val="24"/>
        </w:rPr>
        <w:t xml:space="preserve"> in their entireties. </w:t>
      </w:r>
      <w:r w:rsidR="00D73AA7">
        <w:rPr>
          <w:rFonts w:cs="Times New Roman"/>
          <w:szCs w:val="24"/>
        </w:rPr>
        <w:t xml:space="preserve"> As discussed in this brief, the completeness and accuracy of the data upon which</w:t>
      </w:r>
      <w:r w:rsidR="00D73AA7" w:rsidRPr="00D73AA7">
        <w:rPr>
          <w:rFonts w:cs="Times New Roman"/>
          <w:szCs w:val="24"/>
        </w:rPr>
        <w:t xml:space="preserve"> </w:t>
      </w:r>
      <w:r w:rsidR="00D73AA7">
        <w:rPr>
          <w:rFonts w:cs="Times New Roman"/>
          <w:szCs w:val="24"/>
        </w:rPr>
        <w:t xml:space="preserve">the City of San Antonio, acting by and through the City of Public Service Board (“CPS Energy”) </w:t>
      </w:r>
      <w:r w:rsidR="00175B10">
        <w:rPr>
          <w:rFonts w:cs="Times New Roman"/>
          <w:szCs w:val="24"/>
        </w:rPr>
        <w:t>has been shown by several parties to be inaccurate in many respects</w:t>
      </w:r>
      <w:r w:rsidR="00D73AA7">
        <w:rPr>
          <w:rFonts w:cs="Times New Roman"/>
          <w:szCs w:val="24"/>
        </w:rPr>
        <w:t>.</w:t>
      </w:r>
    </w:p>
    <w:p w14:paraId="3BA6A775" w14:textId="268878EC" w:rsidR="00D26324" w:rsidRDefault="004244FA" w:rsidP="00285E80">
      <w:pPr>
        <w:tabs>
          <w:tab w:val="left" w:pos="720"/>
        </w:tabs>
        <w:spacing w:after="0" w:line="480" w:lineRule="auto"/>
        <w:jc w:val="both"/>
        <w:rPr>
          <w:rFonts w:cs="Times New Roman"/>
          <w:szCs w:val="24"/>
        </w:rPr>
      </w:pPr>
      <w:r>
        <w:rPr>
          <w:rFonts w:cs="Times New Roman"/>
          <w:szCs w:val="24"/>
        </w:rPr>
        <w:tab/>
        <w:t xml:space="preserve">Substation Site 7, also along Toutant, suffers from other constraints, including flood hazards and sloping terrain.  </w:t>
      </w:r>
      <w:r w:rsidR="0053065A">
        <w:rPr>
          <w:rFonts w:cs="Times New Roman"/>
          <w:szCs w:val="24"/>
        </w:rPr>
        <w:t xml:space="preserve">It is surrounded by homes, many of which </w:t>
      </w:r>
      <w:r w:rsidR="00F27DBE">
        <w:rPr>
          <w:rFonts w:cs="Times New Roman"/>
          <w:szCs w:val="24"/>
        </w:rPr>
        <w:t>CPS Energy</w:t>
      </w:r>
      <w:r w:rsidR="0053065A">
        <w:rPr>
          <w:rFonts w:cs="Times New Roman"/>
          <w:szCs w:val="24"/>
        </w:rPr>
        <w:t xml:space="preserve"> did not provide notice.  And because Substation </w:t>
      </w:r>
      <w:r w:rsidR="00613C07">
        <w:rPr>
          <w:rFonts w:cs="Times New Roman"/>
          <w:szCs w:val="24"/>
        </w:rPr>
        <w:t xml:space="preserve">Site </w:t>
      </w:r>
      <w:r w:rsidR="0053065A">
        <w:rPr>
          <w:rFonts w:cs="Times New Roman"/>
          <w:szCs w:val="24"/>
        </w:rPr>
        <w:t>7 was added after the only open house, there was no opportunity for those adjacent landowners to express any concerns to CPS</w:t>
      </w:r>
      <w:r w:rsidR="00EB160B">
        <w:rPr>
          <w:rFonts w:cs="Times New Roman"/>
          <w:szCs w:val="24"/>
        </w:rPr>
        <w:t xml:space="preserve"> Energy</w:t>
      </w:r>
      <w:r w:rsidR="0053065A">
        <w:rPr>
          <w:rFonts w:cs="Times New Roman"/>
          <w:szCs w:val="24"/>
        </w:rPr>
        <w:t xml:space="preserve"> regarding the siting of the substation.</w:t>
      </w:r>
      <w:r w:rsidR="00C34CB0">
        <w:rPr>
          <w:rFonts w:cs="Times New Roman"/>
          <w:szCs w:val="24"/>
        </w:rPr>
        <w:t xml:space="preserve">  If Substation</w:t>
      </w:r>
      <w:r w:rsidR="00574209">
        <w:rPr>
          <w:rFonts w:cs="Times New Roman"/>
          <w:szCs w:val="24"/>
        </w:rPr>
        <w:t>s</w:t>
      </w:r>
      <w:r w:rsidR="00C34CB0">
        <w:rPr>
          <w:rFonts w:cs="Times New Roman"/>
          <w:szCs w:val="24"/>
        </w:rPr>
        <w:t xml:space="preserve"> </w:t>
      </w:r>
      <w:r w:rsidR="00F27DBE">
        <w:rPr>
          <w:rFonts w:cs="Times New Roman"/>
          <w:szCs w:val="24"/>
        </w:rPr>
        <w:t>S</w:t>
      </w:r>
      <w:r w:rsidR="00C34CB0">
        <w:rPr>
          <w:rFonts w:cs="Times New Roman"/>
          <w:szCs w:val="24"/>
        </w:rPr>
        <w:t xml:space="preserve">ite 2 or 3 were used rather than Substation Site 7, the </w:t>
      </w:r>
      <w:r w:rsidR="00C34CB0">
        <w:rPr>
          <w:rFonts w:cs="Times New Roman"/>
          <w:szCs w:val="24"/>
        </w:rPr>
        <w:lastRenderedPageBreak/>
        <w:t xml:space="preserve">habitable structure count </w:t>
      </w:r>
      <w:r w:rsidR="00081F8B">
        <w:rPr>
          <w:rFonts w:cs="Times New Roman"/>
          <w:szCs w:val="24"/>
        </w:rPr>
        <w:t xml:space="preserve">along Toutant </w:t>
      </w:r>
      <w:r w:rsidR="00C34CB0">
        <w:rPr>
          <w:rFonts w:cs="Times New Roman"/>
          <w:szCs w:val="24"/>
        </w:rPr>
        <w:t xml:space="preserve">increases significantly, and the cost of the line increases as well.  </w:t>
      </w:r>
    </w:p>
    <w:p w14:paraId="63EEC43B" w14:textId="5C93B8B8" w:rsidR="00BF3B3A" w:rsidRDefault="00D26324"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5C5490">
        <w:rPr>
          <w:rFonts w:cs="Times New Roman"/>
          <w:szCs w:val="24"/>
        </w:rPr>
        <w:t xml:space="preserve">Routes that utilize the central corridor along Segments 38 and 43 </w:t>
      </w:r>
      <w:r w:rsidR="006A6A6A">
        <w:rPr>
          <w:rFonts w:cs="Times New Roman"/>
          <w:szCs w:val="24"/>
        </w:rPr>
        <w:t>have fewer habitable structures</w:t>
      </w:r>
      <w:r w:rsidR="00597375">
        <w:rPr>
          <w:rFonts w:cs="Times New Roman"/>
          <w:szCs w:val="24"/>
        </w:rPr>
        <w:t xml:space="preserve"> than the Toutant routes.  The central routes cost slightly more in comparison to the routes utilizing Substation 7</w:t>
      </w:r>
      <w:r w:rsidR="006A6A6A">
        <w:rPr>
          <w:rFonts w:cs="Times New Roman"/>
          <w:szCs w:val="24"/>
        </w:rPr>
        <w:t xml:space="preserve">, but all </w:t>
      </w:r>
      <w:r w:rsidR="00784865">
        <w:rPr>
          <w:rFonts w:cs="Times New Roman"/>
          <w:szCs w:val="24"/>
        </w:rPr>
        <w:t xml:space="preserve">central </w:t>
      </w:r>
      <w:r w:rsidR="006A6A6A">
        <w:rPr>
          <w:rFonts w:cs="Times New Roman"/>
          <w:szCs w:val="24"/>
        </w:rPr>
        <w:t>routes were routed close to homes on the southern property boundary of Anaqua Springs, when there is space to route them farther south, farther away from those homes</w:t>
      </w:r>
      <w:r w:rsidR="00D47ADF">
        <w:rPr>
          <w:rFonts w:cs="Times New Roman"/>
          <w:szCs w:val="24"/>
        </w:rPr>
        <w:t xml:space="preserve">, </w:t>
      </w:r>
      <w:r w:rsidR="00081F8B">
        <w:rPr>
          <w:rFonts w:cs="Times New Roman"/>
          <w:szCs w:val="24"/>
        </w:rPr>
        <w:t xml:space="preserve">some of </w:t>
      </w:r>
      <w:r w:rsidR="00D47ADF">
        <w:rPr>
          <w:rFonts w:cs="Times New Roman"/>
          <w:szCs w:val="24"/>
        </w:rPr>
        <w:t>which were incorrectly excluded in the original habitable structure counts</w:t>
      </w:r>
      <w:r w:rsidR="006A6A6A">
        <w:rPr>
          <w:rFonts w:cs="Times New Roman"/>
          <w:szCs w:val="24"/>
        </w:rPr>
        <w:t>.</w:t>
      </w:r>
      <w:r w:rsidR="00FF2756">
        <w:rPr>
          <w:rFonts w:cs="Times New Roman"/>
          <w:szCs w:val="24"/>
        </w:rPr>
        <w:t xml:space="preserve">  </w:t>
      </w:r>
    </w:p>
    <w:p w14:paraId="529EC0E3" w14:textId="2A225385" w:rsidR="00A06BB1" w:rsidRDefault="00A06BB1" w:rsidP="00285E80">
      <w:pPr>
        <w:tabs>
          <w:tab w:val="left" w:pos="720"/>
          <w:tab w:val="left" w:pos="1080"/>
          <w:tab w:val="left" w:pos="1440"/>
        </w:tabs>
        <w:spacing w:after="0" w:line="480" w:lineRule="auto"/>
        <w:jc w:val="both"/>
        <w:rPr>
          <w:rFonts w:cs="Times New Roman"/>
          <w:szCs w:val="24"/>
        </w:rPr>
      </w:pPr>
      <w:r>
        <w:rPr>
          <w:rFonts w:cs="Times New Roman"/>
          <w:szCs w:val="24"/>
        </w:rPr>
        <w:tab/>
        <w:t>The routes that end with Segment 46b travel along Toutant for at least part of their length.  Segment 46b surrounds Raul Figueroa on three sides of his property, which is not a particularly large property.</w:t>
      </w:r>
      <w:r>
        <w:rPr>
          <w:rStyle w:val="FootnoteReference"/>
          <w:rFonts w:cs="Times New Roman"/>
          <w:sz w:val="24"/>
          <w:szCs w:val="24"/>
        </w:rPr>
        <w:footnoteReference w:id="2"/>
      </w:r>
      <w:r>
        <w:rPr>
          <w:rFonts w:cs="Times New Roman"/>
          <w:szCs w:val="24"/>
        </w:rPr>
        <w:t xml:space="preserve">  The burdens on his property would be extreme, not the least of which is that CPS Energy is unaware whether his cell phone will work if the line is routed as shown.</w:t>
      </w:r>
      <w:r>
        <w:rPr>
          <w:rStyle w:val="FootnoteReference"/>
          <w:rFonts w:cs="Times New Roman"/>
          <w:sz w:val="24"/>
          <w:szCs w:val="24"/>
        </w:rPr>
        <w:footnoteReference w:id="3"/>
      </w:r>
      <w:r>
        <w:rPr>
          <w:rFonts w:cs="Times New Roman"/>
          <w:szCs w:val="24"/>
        </w:rPr>
        <w:t xml:space="preserve">  </w:t>
      </w:r>
    </w:p>
    <w:p w14:paraId="31315860" w14:textId="01EAE5A5" w:rsidR="004B332F" w:rsidRDefault="00BF3B3A"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Of the </w:t>
      </w:r>
      <w:r w:rsidR="00081F8B">
        <w:rPr>
          <w:rFonts w:cs="Times New Roman"/>
          <w:szCs w:val="24"/>
        </w:rPr>
        <w:t xml:space="preserve">southernmost </w:t>
      </w:r>
      <w:r>
        <w:rPr>
          <w:rFonts w:cs="Times New Roman"/>
          <w:szCs w:val="24"/>
        </w:rPr>
        <w:t xml:space="preserve">routes, </w:t>
      </w:r>
      <w:r w:rsidR="00FF2756">
        <w:rPr>
          <w:rFonts w:cs="Times New Roman"/>
          <w:szCs w:val="24"/>
        </w:rPr>
        <w:t>Route W performs the best when looking at the amount of modeled golden</w:t>
      </w:r>
      <w:r w:rsidR="00EB160B">
        <w:rPr>
          <w:rFonts w:cs="Times New Roman"/>
          <w:szCs w:val="24"/>
        </w:rPr>
        <w:t>-</w:t>
      </w:r>
      <w:r w:rsidR="00FF2756">
        <w:rPr>
          <w:rFonts w:cs="Times New Roman"/>
          <w:szCs w:val="24"/>
        </w:rPr>
        <w:t>cheek</w:t>
      </w:r>
      <w:r w:rsidR="00EB160B">
        <w:rPr>
          <w:rFonts w:cs="Times New Roman"/>
          <w:szCs w:val="24"/>
        </w:rPr>
        <w:t>ed</w:t>
      </w:r>
      <w:r w:rsidR="00FF2756">
        <w:rPr>
          <w:rFonts w:cs="Times New Roman"/>
          <w:szCs w:val="24"/>
        </w:rPr>
        <w:t xml:space="preserve"> warbler habitat</w:t>
      </w:r>
      <w:r w:rsidR="00081F8B">
        <w:rPr>
          <w:rFonts w:cs="Times New Roman"/>
          <w:szCs w:val="24"/>
        </w:rPr>
        <w:t>.  It</w:t>
      </w:r>
      <w:r w:rsidR="00FF2756">
        <w:rPr>
          <w:rFonts w:cs="Times New Roman"/>
          <w:szCs w:val="24"/>
        </w:rPr>
        <w:t xml:space="preserve"> has fewer habitable structures than Route </w:t>
      </w:r>
      <w:r w:rsidR="004C5459">
        <w:rPr>
          <w:rFonts w:cs="Times New Roman"/>
          <w:szCs w:val="24"/>
        </w:rPr>
        <w:t>Z</w:t>
      </w:r>
      <w:r w:rsidR="00FF2756">
        <w:rPr>
          <w:rFonts w:cs="Times New Roman"/>
          <w:szCs w:val="24"/>
        </w:rPr>
        <w:t>1 (CPS</w:t>
      </w:r>
      <w:r w:rsidR="00EB160B">
        <w:rPr>
          <w:rFonts w:cs="Times New Roman"/>
          <w:szCs w:val="24"/>
        </w:rPr>
        <w:t xml:space="preserve"> Energy</w:t>
      </w:r>
      <w:r w:rsidR="00FF2756">
        <w:rPr>
          <w:rFonts w:cs="Times New Roman"/>
          <w:szCs w:val="24"/>
        </w:rPr>
        <w:t>’s best meets route</w:t>
      </w:r>
      <w:r w:rsidR="00EB160B">
        <w:rPr>
          <w:rFonts w:cs="Times New Roman"/>
          <w:szCs w:val="24"/>
        </w:rPr>
        <w:t>) and</w:t>
      </w:r>
      <w:r w:rsidR="00FF2756">
        <w:rPr>
          <w:rFonts w:cs="Times New Roman"/>
          <w:szCs w:val="24"/>
        </w:rPr>
        <w:t xml:space="preserve"> avoids Toutant.</w:t>
      </w:r>
      <w:r w:rsidR="00D47ADF">
        <w:rPr>
          <w:rFonts w:cs="Times New Roman"/>
          <w:szCs w:val="24"/>
        </w:rPr>
        <w:t xml:space="preserve">  Route W is the least expensive of the southern routes</w:t>
      </w:r>
      <w:r w:rsidR="00081F8B">
        <w:rPr>
          <w:rFonts w:cs="Times New Roman"/>
          <w:szCs w:val="24"/>
        </w:rPr>
        <w:t xml:space="preserve"> O, S, V, and W</w:t>
      </w:r>
      <w:r w:rsidR="00D47ADF">
        <w:rPr>
          <w:rFonts w:cs="Times New Roman"/>
          <w:szCs w:val="24"/>
        </w:rPr>
        <w:t>.</w:t>
      </w:r>
    </w:p>
    <w:p w14:paraId="17C4C214" w14:textId="2B7893A1" w:rsidR="00A41C1B" w:rsidRPr="00015ED1" w:rsidRDefault="000C7A01"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A41C1B">
        <w:rPr>
          <w:rFonts w:cs="Times New Roman"/>
          <w:szCs w:val="24"/>
        </w:rPr>
        <w:t>Additionally, and as addressed in more detail below, CPS</w:t>
      </w:r>
      <w:r w:rsidR="00EB160B">
        <w:rPr>
          <w:rFonts w:cs="Times New Roman"/>
          <w:szCs w:val="24"/>
        </w:rPr>
        <w:t xml:space="preserve"> Energy</w:t>
      </w:r>
      <w:r w:rsidR="00A41C1B">
        <w:rPr>
          <w:rFonts w:cs="Times New Roman"/>
          <w:szCs w:val="24"/>
        </w:rPr>
        <w:t xml:space="preserve">’s Original and Amended Applications suffer from limited routing options, </w:t>
      </w:r>
      <w:r w:rsidR="00015431">
        <w:rPr>
          <w:rFonts w:cs="Times New Roman"/>
          <w:szCs w:val="24"/>
        </w:rPr>
        <w:t xml:space="preserve">mistakes and omissions, </w:t>
      </w:r>
      <w:r w:rsidR="00D47ADF">
        <w:rPr>
          <w:rFonts w:cs="Times New Roman"/>
          <w:szCs w:val="24"/>
        </w:rPr>
        <w:t>which call into question the accuracy and validity of many of the routing decisions made in CPS</w:t>
      </w:r>
      <w:r w:rsidR="00EB160B">
        <w:rPr>
          <w:rFonts w:cs="Times New Roman"/>
          <w:szCs w:val="24"/>
        </w:rPr>
        <w:t xml:space="preserve"> Energy</w:t>
      </w:r>
      <w:r w:rsidR="00D47ADF">
        <w:rPr>
          <w:rFonts w:cs="Times New Roman"/>
          <w:szCs w:val="24"/>
        </w:rPr>
        <w:t>’s Application.</w:t>
      </w:r>
      <w:r w:rsidR="00015431">
        <w:rPr>
          <w:rFonts w:cs="Times New Roman"/>
          <w:szCs w:val="24"/>
        </w:rPr>
        <w:t xml:space="preserve"> </w:t>
      </w:r>
    </w:p>
    <w:p w14:paraId="53204F49" w14:textId="48579608" w:rsidR="00564C61" w:rsidRPr="00BE3521" w:rsidRDefault="00416BD7" w:rsidP="009E5BEB">
      <w:pPr>
        <w:pStyle w:val="CROutline1"/>
        <w:ind w:left="720"/>
      </w:pPr>
      <w:bookmarkStart w:id="1" w:name="_Toc72496197"/>
      <w:r w:rsidRPr="00BE3521">
        <w:lastRenderedPageBreak/>
        <w:t>JURISDICTION</w:t>
      </w:r>
      <w:r w:rsidR="00564C61" w:rsidRPr="00BE3521">
        <w:t xml:space="preserve"> AND NOTICE</w:t>
      </w:r>
      <w:bookmarkEnd w:id="1"/>
    </w:p>
    <w:p w14:paraId="09ED89CA" w14:textId="4BC4532B" w:rsidR="00564C61" w:rsidRDefault="00AD4665"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564C61">
        <w:rPr>
          <w:rFonts w:cs="Times New Roman"/>
          <w:szCs w:val="24"/>
        </w:rPr>
        <w:t xml:space="preserve">Anaqua Springs </w:t>
      </w:r>
      <w:r w:rsidR="00EB160B">
        <w:rPr>
          <w:rFonts w:cs="Times New Roman"/>
          <w:szCs w:val="24"/>
        </w:rPr>
        <w:t xml:space="preserve">HOA </w:t>
      </w:r>
      <w:r w:rsidR="00564C61">
        <w:rPr>
          <w:rFonts w:cs="Times New Roman"/>
          <w:szCs w:val="24"/>
        </w:rPr>
        <w:t>does not contest jurisdiction</w:t>
      </w:r>
      <w:r w:rsidR="009B3FFC">
        <w:rPr>
          <w:rFonts w:cs="Times New Roman"/>
          <w:szCs w:val="24"/>
        </w:rPr>
        <w:t xml:space="preserve"> or notice.  However, because of the discrepancies in notice</w:t>
      </w:r>
      <w:r w:rsidR="00F36095">
        <w:rPr>
          <w:rFonts w:cs="Times New Roman"/>
          <w:szCs w:val="24"/>
        </w:rPr>
        <w:t>, mistakes,</w:t>
      </w:r>
      <w:r w:rsidR="009B3FFC">
        <w:rPr>
          <w:rFonts w:cs="Times New Roman"/>
          <w:szCs w:val="24"/>
        </w:rPr>
        <w:t xml:space="preserve"> and the overall lack of due diligence in CPS</w:t>
      </w:r>
      <w:r w:rsidR="00EB160B">
        <w:rPr>
          <w:rFonts w:cs="Times New Roman"/>
          <w:szCs w:val="24"/>
        </w:rPr>
        <w:t xml:space="preserve"> Energy</w:t>
      </w:r>
      <w:r w:rsidR="009B3FFC">
        <w:rPr>
          <w:rFonts w:cs="Times New Roman"/>
          <w:szCs w:val="24"/>
        </w:rPr>
        <w:t>’s Application, Anaqua Springs HOA is addressing</w:t>
      </w:r>
      <w:r w:rsidR="00FE6AA0">
        <w:rPr>
          <w:rFonts w:cs="Times New Roman"/>
          <w:szCs w:val="24"/>
        </w:rPr>
        <w:t xml:space="preserve"> </w:t>
      </w:r>
      <w:r w:rsidR="005144C2">
        <w:rPr>
          <w:rFonts w:cs="Times New Roman"/>
          <w:szCs w:val="24"/>
        </w:rPr>
        <w:t>these</w:t>
      </w:r>
      <w:r w:rsidR="009B3FFC">
        <w:rPr>
          <w:rFonts w:cs="Times New Roman"/>
          <w:szCs w:val="24"/>
        </w:rPr>
        <w:t xml:space="preserve"> issues.</w:t>
      </w:r>
    </w:p>
    <w:p w14:paraId="359BCA02" w14:textId="4E365362" w:rsidR="005144C2" w:rsidRPr="00757D3F" w:rsidRDefault="005144C2" w:rsidP="009E5BEB">
      <w:pPr>
        <w:pStyle w:val="CROutline1"/>
        <w:ind w:left="720"/>
      </w:pPr>
      <w:bookmarkStart w:id="2" w:name="_Toc72496198"/>
      <w:r w:rsidRPr="00757D3F">
        <w:t>ERRORS AND OMISSIONS IN THE APPLICATION</w:t>
      </w:r>
      <w:bookmarkEnd w:id="2"/>
    </w:p>
    <w:p w14:paraId="68D5EE70" w14:textId="1B9EB91C" w:rsidR="006D77D4" w:rsidRPr="00AB46C3" w:rsidRDefault="009B3FFC" w:rsidP="00BE3521">
      <w:pPr>
        <w:pStyle w:val="CROutline2"/>
      </w:pPr>
      <w:bookmarkStart w:id="3" w:name="_Toc72496199"/>
      <w:r w:rsidRPr="00AB46C3">
        <w:t xml:space="preserve">CPS </w:t>
      </w:r>
      <w:r w:rsidR="008D4F26">
        <w:t xml:space="preserve">Energy’s </w:t>
      </w:r>
      <w:r w:rsidRPr="00AB46C3">
        <w:t>Application suffers from a lack of routing diversity.</w:t>
      </w:r>
      <w:bookmarkEnd w:id="3"/>
    </w:p>
    <w:p w14:paraId="61C5E4DB" w14:textId="45B774A2" w:rsidR="009B3FFC" w:rsidRDefault="00653A9A" w:rsidP="00285E80">
      <w:pPr>
        <w:tabs>
          <w:tab w:val="left" w:pos="720"/>
          <w:tab w:val="left" w:pos="1080"/>
          <w:tab w:val="left" w:pos="1440"/>
        </w:tabs>
        <w:spacing w:after="0" w:line="480" w:lineRule="auto"/>
        <w:jc w:val="both"/>
        <w:rPr>
          <w:rFonts w:cs="Times New Roman"/>
          <w:szCs w:val="24"/>
        </w:rPr>
      </w:pPr>
      <w:r>
        <w:rPr>
          <w:noProof/>
        </w:rPr>
        <w:drawing>
          <wp:anchor distT="0" distB="0" distL="114300" distR="114300" simplePos="0" relativeHeight="251658240" behindDoc="1" locked="0" layoutInCell="1" allowOverlap="1" wp14:anchorId="176FBC0B" wp14:editId="6303746D">
            <wp:simplePos x="0" y="0"/>
            <wp:positionH relativeFrom="column">
              <wp:posOffset>577790</wp:posOffset>
            </wp:positionH>
            <wp:positionV relativeFrom="paragraph">
              <wp:posOffset>1571194</wp:posOffset>
            </wp:positionV>
            <wp:extent cx="4390845" cy="4068568"/>
            <wp:effectExtent l="0" t="0" r="0" b="82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390845" cy="4068568"/>
                    </a:xfrm>
                    <a:prstGeom prst="rect">
                      <a:avLst/>
                    </a:prstGeom>
                  </pic:spPr>
                </pic:pic>
              </a:graphicData>
            </a:graphic>
            <wp14:sizeRelH relativeFrom="page">
              <wp14:pctWidth>0</wp14:pctWidth>
            </wp14:sizeRelH>
            <wp14:sizeRelV relativeFrom="page">
              <wp14:pctHeight>0</wp14:pctHeight>
            </wp14:sizeRelV>
          </wp:anchor>
        </w:drawing>
      </w:r>
      <w:r w:rsidR="009D30B1">
        <w:rPr>
          <w:rFonts w:cs="Times New Roman"/>
          <w:szCs w:val="24"/>
        </w:rPr>
        <w:tab/>
      </w:r>
      <w:r w:rsidR="00C824B1">
        <w:rPr>
          <w:rFonts w:cs="Times New Roman"/>
          <w:szCs w:val="24"/>
        </w:rPr>
        <w:t xml:space="preserve">Although the </w:t>
      </w:r>
      <w:r w:rsidR="00EB160B">
        <w:rPr>
          <w:rFonts w:cs="Times New Roman"/>
          <w:szCs w:val="24"/>
        </w:rPr>
        <w:t>Administrative Law Judges (“</w:t>
      </w:r>
      <w:r w:rsidR="00C824B1">
        <w:rPr>
          <w:rFonts w:cs="Times New Roman"/>
          <w:szCs w:val="24"/>
        </w:rPr>
        <w:t>ALJs</w:t>
      </w:r>
      <w:r w:rsidR="00EB160B">
        <w:rPr>
          <w:rFonts w:cs="Times New Roman"/>
          <w:szCs w:val="24"/>
        </w:rPr>
        <w:t>”)</w:t>
      </w:r>
      <w:r w:rsidR="00C824B1">
        <w:rPr>
          <w:rFonts w:cs="Times New Roman"/>
          <w:szCs w:val="24"/>
        </w:rPr>
        <w:t xml:space="preserve"> determined that CPS</w:t>
      </w:r>
      <w:r w:rsidR="00EB160B">
        <w:rPr>
          <w:rFonts w:cs="Times New Roman"/>
          <w:szCs w:val="24"/>
        </w:rPr>
        <w:t xml:space="preserve"> Energy</w:t>
      </w:r>
      <w:r w:rsidR="00C824B1">
        <w:rPr>
          <w:rFonts w:cs="Times New Roman"/>
          <w:szCs w:val="24"/>
        </w:rPr>
        <w:t>’s Application has a reasonable number of adequately differentiated routes, CPS</w:t>
      </w:r>
      <w:r w:rsidR="00EB160B">
        <w:rPr>
          <w:rFonts w:cs="Times New Roman"/>
          <w:szCs w:val="24"/>
        </w:rPr>
        <w:t xml:space="preserve"> Energy</w:t>
      </w:r>
      <w:r w:rsidR="00C824B1">
        <w:rPr>
          <w:rFonts w:cs="Times New Roman"/>
          <w:szCs w:val="24"/>
        </w:rPr>
        <w:t xml:space="preserve">’s Application is, nevertheless, constrained.  </w:t>
      </w:r>
      <w:r w:rsidR="009B3FFC" w:rsidRPr="00F27DBE">
        <w:rPr>
          <w:rFonts w:cs="Times New Roman"/>
          <w:szCs w:val="24"/>
        </w:rPr>
        <w:t xml:space="preserve">Throughout this proceeding, CPS </w:t>
      </w:r>
      <w:r w:rsidR="00EB160B" w:rsidRPr="00F27DBE">
        <w:rPr>
          <w:rFonts w:cs="Times New Roman"/>
          <w:szCs w:val="24"/>
        </w:rPr>
        <w:t xml:space="preserve">Energy </w:t>
      </w:r>
      <w:r w:rsidR="009B3FFC" w:rsidRPr="00F27DBE">
        <w:rPr>
          <w:rFonts w:cs="Times New Roman"/>
          <w:szCs w:val="24"/>
        </w:rPr>
        <w:t xml:space="preserve">has </w:t>
      </w:r>
      <w:r w:rsidR="00081F8B" w:rsidRPr="00F27DBE">
        <w:rPr>
          <w:rFonts w:cs="Times New Roman"/>
          <w:szCs w:val="24"/>
        </w:rPr>
        <w:t>asserted</w:t>
      </w:r>
      <w:r w:rsidR="009B3FFC" w:rsidRPr="00F27DBE">
        <w:rPr>
          <w:rFonts w:cs="Times New Roman"/>
          <w:szCs w:val="24"/>
        </w:rPr>
        <w:t xml:space="preserve"> that it has provided seven diverse</w:t>
      </w:r>
      <w:r w:rsidR="009B3FFC">
        <w:rPr>
          <w:rFonts w:cs="Times New Roman"/>
          <w:szCs w:val="24"/>
        </w:rPr>
        <w:t xml:space="preserve"> substations. </w:t>
      </w:r>
      <w:r w:rsidR="00FC5C58">
        <w:rPr>
          <w:rFonts w:cs="Times New Roman"/>
          <w:szCs w:val="24"/>
        </w:rPr>
        <w:t xml:space="preserve"> </w:t>
      </w:r>
      <w:r w:rsidR="009B3FFC">
        <w:rPr>
          <w:rFonts w:cs="Times New Roman"/>
          <w:szCs w:val="24"/>
        </w:rPr>
        <w:t xml:space="preserve">However, upon reviewing Figure 2-4 of the Application, </w:t>
      </w:r>
      <w:r w:rsidR="00396663">
        <w:rPr>
          <w:rFonts w:cs="Times New Roman"/>
          <w:szCs w:val="24"/>
        </w:rPr>
        <w:t>there are really only two viable substation options</w:t>
      </w:r>
      <w:r w:rsidR="0078065D">
        <w:rPr>
          <w:rFonts w:cs="Times New Roman"/>
          <w:szCs w:val="24"/>
        </w:rPr>
        <w:t>.</w:t>
      </w:r>
      <w:r w:rsidR="00E62731">
        <w:rPr>
          <w:rStyle w:val="FootnoteReference"/>
          <w:rFonts w:cs="Times New Roman"/>
          <w:sz w:val="24"/>
          <w:szCs w:val="24"/>
        </w:rPr>
        <w:footnoteReference w:id="4"/>
      </w:r>
      <w:r w:rsidR="00396663">
        <w:rPr>
          <w:rFonts w:cs="Times New Roman"/>
          <w:szCs w:val="24"/>
        </w:rPr>
        <w:t xml:space="preserve">  </w:t>
      </w:r>
    </w:p>
    <w:p w14:paraId="6399F01A" w14:textId="10745864" w:rsidR="00AB46C3" w:rsidRDefault="00AB46C3" w:rsidP="009B3FFC">
      <w:pPr>
        <w:tabs>
          <w:tab w:val="left" w:pos="360"/>
          <w:tab w:val="left" w:pos="720"/>
          <w:tab w:val="left" w:pos="1080"/>
          <w:tab w:val="left" w:pos="1440"/>
        </w:tabs>
        <w:spacing w:after="0" w:line="480" w:lineRule="auto"/>
        <w:rPr>
          <w:rFonts w:cs="Times New Roman"/>
          <w:szCs w:val="24"/>
        </w:rPr>
      </w:pPr>
    </w:p>
    <w:p w14:paraId="6627BD39" w14:textId="272DD3C6" w:rsidR="00456D6C" w:rsidRDefault="00456D6C" w:rsidP="009B3FFC">
      <w:pPr>
        <w:tabs>
          <w:tab w:val="left" w:pos="360"/>
          <w:tab w:val="left" w:pos="720"/>
          <w:tab w:val="left" w:pos="1080"/>
          <w:tab w:val="left" w:pos="1440"/>
        </w:tabs>
        <w:spacing w:after="0" w:line="480" w:lineRule="auto"/>
        <w:rPr>
          <w:rFonts w:cs="Times New Roman"/>
          <w:szCs w:val="24"/>
        </w:rPr>
      </w:pPr>
    </w:p>
    <w:p w14:paraId="2D98443D" w14:textId="383B03ED" w:rsidR="00456D6C" w:rsidRDefault="00456D6C" w:rsidP="009B3FFC">
      <w:pPr>
        <w:tabs>
          <w:tab w:val="left" w:pos="360"/>
          <w:tab w:val="left" w:pos="720"/>
          <w:tab w:val="left" w:pos="1080"/>
          <w:tab w:val="left" w:pos="1440"/>
        </w:tabs>
        <w:spacing w:after="0" w:line="480" w:lineRule="auto"/>
        <w:rPr>
          <w:rFonts w:cs="Times New Roman"/>
          <w:szCs w:val="24"/>
        </w:rPr>
      </w:pPr>
    </w:p>
    <w:p w14:paraId="6C86E173" w14:textId="6C9684E1" w:rsidR="00456D6C" w:rsidRDefault="00456D6C" w:rsidP="009B3FFC">
      <w:pPr>
        <w:tabs>
          <w:tab w:val="left" w:pos="360"/>
          <w:tab w:val="left" w:pos="720"/>
          <w:tab w:val="left" w:pos="1080"/>
          <w:tab w:val="left" w:pos="1440"/>
        </w:tabs>
        <w:spacing w:after="0" w:line="480" w:lineRule="auto"/>
        <w:rPr>
          <w:rFonts w:cs="Times New Roman"/>
          <w:szCs w:val="24"/>
        </w:rPr>
      </w:pPr>
    </w:p>
    <w:p w14:paraId="48D6A6CE" w14:textId="76F8CC11" w:rsidR="00456D6C" w:rsidRDefault="00456D6C" w:rsidP="009D22D6">
      <w:pPr>
        <w:tabs>
          <w:tab w:val="left" w:pos="360"/>
          <w:tab w:val="left" w:pos="720"/>
          <w:tab w:val="left" w:pos="1080"/>
          <w:tab w:val="left" w:pos="2415"/>
        </w:tabs>
        <w:spacing w:after="0" w:line="480" w:lineRule="auto"/>
        <w:jc w:val="both"/>
        <w:rPr>
          <w:rFonts w:cs="Times New Roman"/>
          <w:szCs w:val="24"/>
        </w:rPr>
      </w:pPr>
    </w:p>
    <w:p w14:paraId="7AED66D3" w14:textId="64D13104" w:rsidR="00456D6C" w:rsidRDefault="00456D6C">
      <w:pPr>
        <w:rPr>
          <w:rFonts w:cs="Times New Roman"/>
          <w:szCs w:val="24"/>
        </w:rPr>
      </w:pPr>
    </w:p>
    <w:p w14:paraId="48524E61" w14:textId="1895B69B" w:rsidR="00EC3961" w:rsidRDefault="00EC3961">
      <w:pPr>
        <w:rPr>
          <w:rFonts w:cs="Times New Roman"/>
          <w:szCs w:val="24"/>
        </w:rPr>
      </w:pPr>
    </w:p>
    <w:p w14:paraId="428B2A35" w14:textId="6FDEFB2F" w:rsidR="00EC3961" w:rsidRDefault="00EC3961">
      <w:pPr>
        <w:rPr>
          <w:rFonts w:cs="Times New Roman"/>
          <w:szCs w:val="24"/>
        </w:rPr>
      </w:pPr>
    </w:p>
    <w:p w14:paraId="5857224C" w14:textId="21CBB0ED" w:rsidR="00EC3961" w:rsidRDefault="00EC3961">
      <w:pPr>
        <w:rPr>
          <w:rFonts w:cs="Times New Roman"/>
          <w:szCs w:val="24"/>
        </w:rPr>
      </w:pPr>
    </w:p>
    <w:p w14:paraId="1E4F3C7B" w14:textId="60CFFFFE" w:rsidR="00EC3961" w:rsidRDefault="00EC3961">
      <w:pPr>
        <w:rPr>
          <w:rFonts w:cs="Times New Roman"/>
          <w:szCs w:val="24"/>
        </w:rPr>
      </w:pPr>
    </w:p>
    <w:p w14:paraId="269C8DCA" w14:textId="5EF8420B" w:rsidR="00EC3961" w:rsidRDefault="00EC3961">
      <w:pPr>
        <w:rPr>
          <w:rFonts w:cs="Times New Roman"/>
          <w:szCs w:val="24"/>
        </w:rPr>
      </w:pPr>
    </w:p>
    <w:p w14:paraId="750A7AA8" w14:textId="2E1076FE" w:rsidR="00EC3961" w:rsidRDefault="00EC3961">
      <w:pPr>
        <w:rPr>
          <w:rFonts w:cs="Times New Roman"/>
          <w:szCs w:val="24"/>
        </w:rPr>
      </w:pPr>
    </w:p>
    <w:p w14:paraId="0BBE37C7" w14:textId="587F7D91" w:rsidR="00667A97" w:rsidRDefault="00134B94" w:rsidP="00134B94">
      <w:pPr>
        <w:tabs>
          <w:tab w:val="left" w:pos="720"/>
          <w:tab w:val="left" w:pos="1080"/>
          <w:tab w:val="left" w:pos="1440"/>
        </w:tabs>
        <w:spacing w:after="0" w:line="480" w:lineRule="auto"/>
        <w:jc w:val="both"/>
        <w:rPr>
          <w:rFonts w:cs="Times New Roman"/>
          <w:szCs w:val="24"/>
        </w:rPr>
      </w:pPr>
      <w:r>
        <w:rPr>
          <w:rFonts w:cs="Times New Roman"/>
          <w:szCs w:val="24"/>
        </w:rPr>
        <w:lastRenderedPageBreak/>
        <w:tab/>
      </w:r>
      <w:r w:rsidR="00AB46C3">
        <w:rPr>
          <w:rFonts w:cs="Times New Roman"/>
          <w:szCs w:val="24"/>
        </w:rPr>
        <w:t xml:space="preserve">As shown in Figure 2-4, and as confirmed at the hearing by </w:t>
      </w:r>
      <w:r w:rsidR="00C5246F">
        <w:rPr>
          <w:rFonts w:cs="Times New Roman"/>
          <w:szCs w:val="24"/>
        </w:rPr>
        <w:t xml:space="preserve">CPS </w:t>
      </w:r>
      <w:r w:rsidR="00EB160B">
        <w:rPr>
          <w:rFonts w:cs="Times New Roman"/>
          <w:szCs w:val="24"/>
        </w:rPr>
        <w:t xml:space="preserve">Energy </w:t>
      </w:r>
      <w:r w:rsidR="00C5246F">
        <w:rPr>
          <w:rFonts w:cs="Times New Roman"/>
          <w:szCs w:val="24"/>
        </w:rPr>
        <w:t>witness Scott Lyssy</w:t>
      </w:r>
      <w:r w:rsidR="00AB46C3">
        <w:rPr>
          <w:rFonts w:cs="Times New Roman"/>
          <w:szCs w:val="24"/>
        </w:rPr>
        <w:t xml:space="preserve">, of the seven substation locations, only two </w:t>
      </w:r>
      <w:r w:rsidR="00C91196">
        <w:rPr>
          <w:rFonts w:cs="Times New Roman"/>
          <w:szCs w:val="24"/>
        </w:rPr>
        <w:t xml:space="preserve">can route directly to the interconnect at the Ranchtown Menger transmission line without crossing </w:t>
      </w:r>
      <w:r w:rsidR="005F3EB7">
        <w:rPr>
          <w:rFonts w:cs="Times New Roman"/>
          <w:szCs w:val="24"/>
        </w:rPr>
        <w:t>the location of either Substation 6 or Substation 7.</w:t>
      </w:r>
      <w:r w:rsidR="004B78E3">
        <w:rPr>
          <w:rStyle w:val="FootnoteReference"/>
          <w:rFonts w:cs="Times New Roman"/>
          <w:sz w:val="24"/>
          <w:szCs w:val="24"/>
        </w:rPr>
        <w:footnoteReference w:id="5"/>
      </w:r>
      <w:r w:rsidR="005F3EB7">
        <w:rPr>
          <w:rFonts w:cs="Times New Roman"/>
          <w:szCs w:val="24"/>
        </w:rPr>
        <w:t xml:space="preserve">  </w:t>
      </w:r>
      <w:r w:rsidR="00AB46C3">
        <w:rPr>
          <w:rFonts w:cs="Times New Roman"/>
          <w:szCs w:val="24"/>
        </w:rPr>
        <w:t xml:space="preserve">As indicated by </w:t>
      </w:r>
      <w:r w:rsidR="00C5246F">
        <w:rPr>
          <w:rFonts w:cs="Times New Roman"/>
          <w:szCs w:val="24"/>
        </w:rPr>
        <w:t>Mr. Lyssy</w:t>
      </w:r>
      <w:r w:rsidR="00081F8B">
        <w:rPr>
          <w:rFonts w:cs="Times New Roman"/>
          <w:szCs w:val="24"/>
        </w:rPr>
        <w:t>,</w:t>
      </w:r>
      <w:r w:rsidR="00AB46C3">
        <w:rPr>
          <w:rFonts w:cs="Times New Roman"/>
          <w:szCs w:val="24"/>
        </w:rPr>
        <w:t xml:space="preserve"> as a general rule, the longer a transmission line, the more expensive it is.</w:t>
      </w:r>
      <w:r w:rsidR="00C5246F">
        <w:rPr>
          <w:rStyle w:val="FootnoteReference"/>
          <w:rFonts w:cs="Times New Roman"/>
          <w:sz w:val="24"/>
          <w:szCs w:val="24"/>
        </w:rPr>
        <w:footnoteReference w:id="6"/>
      </w:r>
      <w:r w:rsidR="005F3EB7">
        <w:rPr>
          <w:rFonts w:cs="Times New Roman"/>
          <w:szCs w:val="24"/>
        </w:rPr>
        <w:t xml:space="preserve">  So, CPS</w:t>
      </w:r>
      <w:r w:rsidR="00EB160B">
        <w:rPr>
          <w:rFonts w:cs="Times New Roman"/>
          <w:szCs w:val="24"/>
        </w:rPr>
        <w:t xml:space="preserve"> Energy</w:t>
      </w:r>
      <w:r w:rsidR="005F3EB7">
        <w:rPr>
          <w:rFonts w:cs="Times New Roman"/>
          <w:szCs w:val="24"/>
        </w:rPr>
        <w:t xml:space="preserve">’s Application contains two substations that connect directly with </w:t>
      </w:r>
      <w:r w:rsidR="006642B3">
        <w:rPr>
          <w:rFonts w:cs="Times New Roman"/>
          <w:szCs w:val="24"/>
        </w:rPr>
        <w:t xml:space="preserve">the </w:t>
      </w:r>
      <w:r w:rsidR="005F3EB7">
        <w:rPr>
          <w:rFonts w:cs="Times New Roman"/>
          <w:szCs w:val="24"/>
        </w:rPr>
        <w:t>Ranchtown Menger line.  The other substations serve to add length and cost wit</w:t>
      </w:r>
      <w:r w:rsidR="00661820">
        <w:rPr>
          <w:rFonts w:cs="Times New Roman"/>
          <w:szCs w:val="24"/>
        </w:rPr>
        <w:t xml:space="preserve">hout providing </w:t>
      </w:r>
      <w:r w:rsidR="000432A3">
        <w:rPr>
          <w:rFonts w:cs="Times New Roman"/>
          <w:szCs w:val="24"/>
        </w:rPr>
        <w:t>additional routing</w:t>
      </w:r>
      <w:r w:rsidR="00661820">
        <w:rPr>
          <w:rFonts w:cs="Times New Roman"/>
          <w:szCs w:val="24"/>
        </w:rPr>
        <w:t xml:space="preserve"> </w:t>
      </w:r>
      <w:r w:rsidR="00C824B1">
        <w:rPr>
          <w:rFonts w:cs="Times New Roman"/>
          <w:szCs w:val="24"/>
        </w:rPr>
        <w:t>corridors</w:t>
      </w:r>
      <w:r w:rsidR="00661820">
        <w:rPr>
          <w:rFonts w:cs="Times New Roman"/>
          <w:szCs w:val="24"/>
        </w:rPr>
        <w:t xml:space="preserve">. </w:t>
      </w:r>
    </w:p>
    <w:p w14:paraId="0137D6B2" w14:textId="436796C9" w:rsidR="00F80319" w:rsidRDefault="00F80319" w:rsidP="00BE3521">
      <w:pPr>
        <w:pStyle w:val="CROutline2"/>
      </w:pPr>
      <w:bookmarkStart w:id="4" w:name="_Toc72496200"/>
      <w:r w:rsidRPr="00F80319">
        <w:t xml:space="preserve">CPS </w:t>
      </w:r>
      <w:r w:rsidR="00BE6D9D">
        <w:t xml:space="preserve">Energy </w:t>
      </w:r>
      <w:r w:rsidRPr="00F80319">
        <w:t>did not conduct a second open house after substantially changing routing.</w:t>
      </w:r>
      <w:bookmarkEnd w:id="4"/>
    </w:p>
    <w:p w14:paraId="6F42B3E8" w14:textId="2A0246CA" w:rsidR="00F80319" w:rsidRDefault="006D2C08" w:rsidP="00285E80">
      <w:pPr>
        <w:tabs>
          <w:tab w:val="left" w:pos="720"/>
          <w:tab w:val="left" w:pos="1080"/>
          <w:tab w:val="left" w:pos="1440"/>
        </w:tabs>
        <w:spacing w:after="0" w:line="480" w:lineRule="auto"/>
        <w:jc w:val="both"/>
        <w:rPr>
          <w:rFonts w:cs="Times New Roman"/>
          <w:szCs w:val="24"/>
        </w:rPr>
      </w:pPr>
      <w:r>
        <w:rPr>
          <w:noProof/>
        </w:rPr>
        <w:drawing>
          <wp:anchor distT="0" distB="0" distL="114300" distR="114300" simplePos="0" relativeHeight="251659264" behindDoc="1" locked="0" layoutInCell="1" allowOverlap="1" wp14:anchorId="37E4541F" wp14:editId="532B6891">
            <wp:simplePos x="0" y="0"/>
            <wp:positionH relativeFrom="column">
              <wp:posOffset>508923</wp:posOffset>
            </wp:positionH>
            <wp:positionV relativeFrom="paragraph">
              <wp:posOffset>597212</wp:posOffset>
            </wp:positionV>
            <wp:extent cx="3950898" cy="3578657"/>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950898" cy="3578657"/>
                    </a:xfrm>
                    <a:prstGeom prst="rect">
                      <a:avLst/>
                    </a:prstGeom>
                  </pic:spPr>
                </pic:pic>
              </a:graphicData>
            </a:graphic>
            <wp14:sizeRelH relativeFrom="page">
              <wp14:pctWidth>0</wp14:pctWidth>
            </wp14:sizeRelH>
            <wp14:sizeRelV relativeFrom="page">
              <wp14:pctHeight>0</wp14:pctHeight>
            </wp14:sizeRelV>
          </wp:anchor>
        </w:drawing>
      </w:r>
      <w:r w:rsidR="00F80319">
        <w:rPr>
          <w:rFonts w:cs="Times New Roman"/>
          <w:szCs w:val="24"/>
        </w:rPr>
        <w:tab/>
      </w:r>
      <w:r w:rsidR="00BE6D9D">
        <w:rPr>
          <w:rFonts w:cs="Times New Roman"/>
          <w:szCs w:val="24"/>
        </w:rPr>
        <w:t>CPS Energy</w:t>
      </w:r>
      <w:r w:rsidR="00F80319">
        <w:rPr>
          <w:rFonts w:cs="Times New Roman"/>
          <w:szCs w:val="24"/>
        </w:rPr>
        <w:t xml:space="preserve"> held one open house as part of this proceeding in October </w:t>
      </w:r>
      <w:r w:rsidR="00C824B1">
        <w:rPr>
          <w:rFonts w:cs="Times New Roman"/>
          <w:szCs w:val="24"/>
        </w:rPr>
        <w:t>2019.</w:t>
      </w:r>
      <w:r w:rsidR="00C824B1">
        <w:rPr>
          <w:rStyle w:val="FootnoteReference"/>
          <w:rFonts w:cs="Times New Roman"/>
          <w:sz w:val="24"/>
          <w:szCs w:val="24"/>
        </w:rPr>
        <w:footnoteReference w:id="7"/>
      </w:r>
      <w:r w:rsidR="00F80319">
        <w:rPr>
          <w:rFonts w:cs="Times New Roman"/>
          <w:szCs w:val="24"/>
        </w:rPr>
        <w:t xml:space="preserve">  At that open house</w:t>
      </w:r>
      <w:r w:rsidR="00C809A7">
        <w:rPr>
          <w:rFonts w:cs="Times New Roman"/>
          <w:szCs w:val="24"/>
        </w:rPr>
        <w:t>,</w:t>
      </w:r>
      <w:r w:rsidR="00F80319">
        <w:rPr>
          <w:rFonts w:cs="Times New Roman"/>
          <w:szCs w:val="24"/>
        </w:rPr>
        <w:t xml:space="preserve"> </w:t>
      </w:r>
      <w:r w:rsidR="00BE6D9D">
        <w:rPr>
          <w:rFonts w:cs="Times New Roman"/>
          <w:szCs w:val="24"/>
        </w:rPr>
        <w:t>CPS Energy</w:t>
      </w:r>
      <w:r w:rsidR="00F80319">
        <w:rPr>
          <w:rFonts w:cs="Times New Roman"/>
          <w:szCs w:val="24"/>
        </w:rPr>
        <w:t xml:space="preserve"> presented the following possible segments</w:t>
      </w:r>
      <w:r w:rsidR="008A04DA">
        <w:rPr>
          <w:rStyle w:val="FootnoteReference"/>
          <w:rFonts w:cs="Times New Roman"/>
          <w:sz w:val="24"/>
          <w:szCs w:val="24"/>
        </w:rPr>
        <w:footnoteReference w:id="8"/>
      </w:r>
      <w:r w:rsidR="00F80319">
        <w:rPr>
          <w:rFonts w:cs="Times New Roman"/>
          <w:szCs w:val="24"/>
        </w:rPr>
        <w:t>:</w:t>
      </w:r>
    </w:p>
    <w:p w14:paraId="7A1D6387" w14:textId="7CE0E8E9" w:rsidR="00F80319" w:rsidRDefault="00F80319" w:rsidP="00AB46C3">
      <w:pPr>
        <w:tabs>
          <w:tab w:val="left" w:pos="360"/>
          <w:tab w:val="left" w:pos="720"/>
          <w:tab w:val="left" w:pos="1080"/>
          <w:tab w:val="left" w:pos="1440"/>
        </w:tabs>
        <w:spacing w:after="0" w:line="480" w:lineRule="auto"/>
        <w:jc w:val="both"/>
        <w:rPr>
          <w:rFonts w:cs="Times New Roman"/>
          <w:szCs w:val="24"/>
        </w:rPr>
      </w:pPr>
    </w:p>
    <w:p w14:paraId="5EDE5820" w14:textId="52A35FF0"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5DE3899F" w14:textId="7D2379F1"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550A02F1" w14:textId="1F2674F4"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2161771B" w14:textId="2226A2FE"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3F47A611" w14:textId="3ABAB211"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274E127D" w14:textId="792816DB"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1201BA69" w14:textId="67590284"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5CC280E1" w14:textId="2CD72C6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55CF3E23" w14:textId="0A8FB2F0"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44F7D769" w14:textId="3462885A" w:rsidR="00F80319" w:rsidRDefault="00CF4AEC" w:rsidP="00285E80">
      <w:pPr>
        <w:tabs>
          <w:tab w:val="left" w:pos="720"/>
          <w:tab w:val="left" w:pos="1080"/>
          <w:tab w:val="left" w:pos="1440"/>
        </w:tabs>
        <w:spacing w:after="0" w:line="480" w:lineRule="auto"/>
        <w:jc w:val="both"/>
        <w:rPr>
          <w:rFonts w:cs="Times New Roman"/>
          <w:szCs w:val="24"/>
        </w:rPr>
      </w:pPr>
      <w:r>
        <w:rPr>
          <w:noProof/>
        </w:rPr>
        <w:lastRenderedPageBreak/>
        <w:drawing>
          <wp:anchor distT="0" distB="0" distL="114300" distR="114300" simplePos="0" relativeHeight="251660288" behindDoc="1" locked="0" layoutInCell="1" allowOverlap="1" wp14:anchorId="46A760D1" wp14:editId="2F126C25">
            <wp:simplePos x="0" y="0"/>
            <wp:positionH relativeFrom="column">
              <wp:posOffset>594336</wp:posOffset>
            </wp:positionH>
            <wp:positionV relativeFrom="paragraph">
              <wp:posOffset>1310640</wp:posOffset>
            </wp:positionV>
            <wp:extent cx="4368181" cy="4149305"/>
            <wp:effectExtent l="0" t="0" r="0"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368181" cy="4149305"/>
                    </a:xfrm>
                    <a:prstGeom prst="rect">
                      <a:avLst/>
                    </a:prstGeom>
                  </pic:spPr>
                </pic:pic>
              </a:graphicData>
            </a:graphic>
            <wp14:sizeRelH relativeFrom="page">
              <wp14:pctWidth>0</wp14:pctWidth>
            </wp14:sizeRelH>
            <wp14:sizeRelV relativeFrom="page">
              <wp14:pctHeight>0</wp14:pctHeight>
            </wp14:sizeRelV>
          </wp:anchor>
        </w:drawing>
      </w:r>
      <w:r w:rsidR="00EA6E8B">
        <w:rPr>
          <w:rFonts w:cs="Times New Roman"/>
          <w:szCs w:val="24"/>
        </w:rPr>
        <w:tab/>
      </w:r>
      <w:r w:rsidR="00F80319">
        <w:rPr>
          <w:rFonts w:cs="Times New Roman"/>
          <w:szCs w:val="24"/>
        </w:rPr>
        <w:t xml:space="preserve">However, when CPS </w:t>
      </w:r>
      <w:r w:rsidR="00EB160B">
        <w:rPr>
          <w:rFonts w:cs="Times New Roman"/>
          <w:szCs w:val="24"/>
        </w:rPr>
        <w:t xml:space="preserve">Energy </w:t>
      </w:r>
      <w:r w:rsidR="00F80319">
        <w:rPr>
          <w:rFonts w:cs="Times New Roman"/>
          <w:szCs w:val="24"/>
        </w:rPr>
        <w:t xml:space="preserve">filed its </w:t>
      </w:r>
      <w:r w:rsidR="00081F8B">
        <w:rPr>
          <w:rFonts w:cs="Times New Roman"/>
          <w:szCs w:val="24"/>
        </w:rPr>
        <w:t>A</w:t>
      </w:r>
      <w:r w:rsidR="00F80319">
        <w:rPr>
          <w:rFonts w:cs="Times New Roman"/>
          <w:szCs w:val="24"/>
        </w:rPr>
        <w:t>pplication in July 2020, around nine months later, the segments and substations had changed significantly</w:t>
      </w:r>
      <w:r w:rsidR="00B9240F">
        <w:rPr>
          <w:rFonts w:cs="Times New Roman"/>
          <w:szCs w:val="24"/>
        </w:rPr>
        <w:t xml:space="preserve">.  CPS </w:t>
      </w:r>
      <w:r w:rsidR="00EB160B">
        <w:rPr>
          <w:rFonts w:cs="Times New Roman"/>
          <w:szCs w:val="24"/>
        </w:rPr>
        <w:t xml:space="preserve">Energy </w:t>
      </w:r>
      <w:r w:rsidR="00B9240F">
        <w:rPr>
          <w:rFonts w:cs="Times New Roman"/>
          <w:szCs w:val="24"/>
        </w:rPr>
        <w:t>did not hold a second open house or provide an opportunity prior to filing for landowners to provide input on the changes</w:t>
      </w:r>
      <w:r w:rsidR="00F80319">
        <w:rPr>
          <w:rFonts w:cs="Times New Roman"/>
          <w:szCs w:val="24"/>
        </w:rPr>
        <w:t>.</w:t>
      </w:r>
      <w:r w:rsidR="00F80319">
        <w:rPr>
          <w:rStyle w:val="FootnoteReference"/>
          <w:rFonts w:cs="Times New Roman"/>
          <w:sz w:val="24"/>
          <w:szCs w:val="24"/>
        </w:rPr>
        <w:footnoteReference w:id="9"/>
      </w:r>
      <w:r w:rsidR="00F80319">
        <w:rPr>
          <w:rFonts w:cs="Times New Roman"/>
          <w:szCs w:val="24"/>
        </w:rPr>
        <w:t xml:space="preserve"> </w:t>
      </w:r>
      <w:r w:rsidR="00EA6E8B">
        <w:rPr>
          <w:rFonts w:cs="Times New Roman"/>
          <w:szCs w:val="24"/>
        </w:rPr>
        <w:t>Those segments and substations are shown here</w:t>
      </w:r>
      <w:r w:rsidR="00E006A0">
        <w:rPr>
          <w:rStyle w:val="FootnoteReference"/>
          <w:rFonts w:cs="Times New Roman"/>
          <w:sz w:val="24"/>
          <w:szCs w:val="24"/>
        </w:rPr>
        <w:footnoteReference w:id="10"/>
      </w:r>
      <w:r w:rsidR="00EA6E8B">
        <w:rPr>
          <w:rFonts w:cs="Times New Roman"/>
          <w:szCs w:val="24"/>
        </w:rPr>
        <w:t>:</w:t>
      </w:r>
    </w:p>
    <w:p w14:paraId="74727F51" w14:textId="080DAD6D" w:rsidR="00EA6E8B" w:rsidRDefault="00EA6E8B" w:rsidP="00AB46C3">
      <w:pPr>
        <w:tabs>
          <w:tab w:val="left" w:pos="360"/>
          <w:tab w:val="left" w:pos="720"/>
          <w:tab w:val="left" w:pos="1080"/>
          <w:tab w:val="left" w:pos="1440"/>
        </w:tabs>
        <w:spacing w:after="0" w:line="480" w:lineRule="auto"/>
        <w:jc w:val="both"/>
        <w:rPr>
          <w:rFonts w:cs="Times New Roman"/>
          <w:szCs w:val="24"/>
        </w:rPr>
      </w:pPr>
    </w:p>
    <w:p w14:paraId="2B84CDC1" w14:textId="2881902E"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54B2F9E6" w14:textId="5843A891"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6E1C7AC9" w14:textId="559F75B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6173E1B1" w14:textId="35A638F0"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44E32FC5" w14:textId="5AAC7793"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25742888" w14:textId="7443B2FC"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6436559F" w14:textId="137F9A25"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214927B4" w14:textId="7777777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4F357563" w14:textId="0941313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060C43CD" w14:textId="7777777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36BFACA3" w14:textId="77777777" w:rsidR="00456D6C" w:rsidRDefault="00456D6C" w:rsidP="00AB46C3">
      <w:pPr>
        <w:tabs>
          <w:tab w:val="left" w:pos="360"/>
          <w:tab w:val="left" w:pos="720"/>
          <w:tab w:val="left" w:pos="1080"/>
          <w:tab w:val="left" w:pos="1440"/>
        </w:tabs>
        <w:spacing w:after="0" w:line="480" w:lineRule="auto"/>
        <w:jc w:val="both"/>
        <w:rPr>
          <w:rFonts w:cs="Times New Roman"/>
          <w:szCs w:val="24"/>
        </w:rPr>
      </w:pPr>
    </w:p>
    <w:p w14:paraId="6F4BA477" w14:textId="4315BDC9" w:rsidR="005F4019" w:rsidRDefault="00A526B6"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1649A7">
        <w:rPr>
          <w:rFonts w:cs="Times New Roman"/>
          <w:szCs w:val="24"/>
        </w:rPr>
        <w:t xml:space="preserve">Notably, Segment 12 in the northeast was eliminated </w:t>
      </w:r>
      <w:r w:rsidR="000658A1">
        <w:rPr>
          <w:rFonts w:cs="Times New Roman"/>
          <w:szCs w:val="24"/>
        </w:rPr>
        <w:t xml:space="preserve">and </w:t>
      </w:r>
      <w:r w:rsidR="001649A7">
        <w:rPr>
          <w:rFonts w:cs="Times New Roman"/>
          <w:szCs w:val="24"/>
        </w:rPr>
        <w:t xml:space="preserve">Substations 6 and 7 were added. </w:t>
      </w:r>
      <w:r w:rsidR="008D6565">
        <w:rPr>
          <w:rFonts w:cs="Times New Roman"/>
          <w:szCs w:val="24"/>
        </w:rPr>
        <w:t xml:space="preserve"> CPS</w:t>
      </w:r>
      <w:r w:rsidR="00EB160B">
        <w:rPr>
          <w:rFonts w:cs="Times New Roman"/>
          <w:szCs w:val="24"/>
        </w:rPr>
        <w:t xml:space="preserve"> Energy</w:t>
      </w:r>
      <w:r w:rsidR="008D6565">
        <w:rPr>
          <w:rFonts w:cs="Times New Roman"/>
          <w:szCs w:val="24"/>
        </w:rPr>
        <w:t xml:space="preserve"> asserts that its impetus for removing Segment 12 was a letter from the Air Force dated March 26, 2020.</w:t>
      </w:r>
      <w:r w:rsidR="00837665">
        <w:rPr>
          <w:rStyle w:val="FootnoteReference"/>
          <w:rFonts w:cs="Times New Roman"/>
          <w:sz w:val="24"/>
          <w:szCs w:val="24"/>
        </w:rPr>
        <w:footnoteReference w:id="11"/>
      </w:r>
      <w:r w:rsidR="00675E82">
        <w:rPr>
          <w:rFonts w:cs="Times New Roman"/>
          <w:szCs w:val="24"/>
        </w:rPr>
        <w:t xml:space="preserve"> </w:t>
      </w:r>
      <w:r w:rsidR="00081F8B">
        <w:rPr>
          <w:rFonts w:cs="Times New Roman"/>
          <w:szCs w:val="24"/>
        </w:rPr>
        <w:t xml:space="preserve"> </w:t>
      </w:r>
      <w:r w:rsidR="00675E82">
        <w:rPr>
          <w:rFonts w:cs="Times New Roman"/>
          <w:szCs w:val="24"/>
        </w:rPr>
        <w:t xml:space="preserve">However, in the four months between the date of that letter and the date CPS </w:t>
      </w:r>
      <w:r w:rsidR="00EB160B">
        <w:rPr>
          <w:rFonts w:cs="Times New Roman"/>
          <w:szCs w:val="24"/>
        </w:rPr>
        <w:t xml:space="preserve">Energy </w:t>
      </w:r>
      <w:r w:rsidR="00675E82">
        <w:rPr>
          <w:rFonts w:cs="Times New Roman"/>
          <w:szCs w:val="24"/>
        </w:rPr>
        <w:t xml:space="preserve">filed the Application, CPS </w:t>
      </w:r>
      <w:r w:rsidR="00EB160B">
        <w:rPr>
          <w:rFonts w:cs="Times New Roman"/>
          <w:szCs w:val="24"/>
        </w:rPr>
        <w:t xml:space="preserve">Energy </w:t>
      </w:r>
      <w:r w:rsidR="00675E82">
        <w:rPr>
          <w:rFonts w:cs="Times New Roman"/>
          <w:szCs w:val="24"/>
        </w:rPr>
        <w:t xml:space="preserve">did not conduct a second open house and did not notify </w:t>
      </w:r>
      <w:r w:rsidR="00675E82">
        <w:rPr>
          <w:rFonts w:cs="Times New Roman"/>
          <w:szCs w:val="24"/>
        </w:rPr>
        <w:lastRenderedPageBreak/>
        <w:t xml:space="preserve">any of the landowners of the changes to the </w:t>
      </w:r>
      <w:r w:rsidR="00081F8B">
        <w:rPr>
          <w:rFonts w:cs="Times New Roman"/>
          <w:szCs w:val="24"/>
        </w:rPr>
        <w:t>segments and substations</w:t>
      </w:r>
      <w:r w:rsidR="00675E82">
        <w:rPr>
          <w:rFonts w:cs="Times New Roman"/>
          <w:szCs w:val="24"/>
        </w:rPr>
        <w:t>.</w:t>
      </w:r>
      <w:r w:rsidR="00B9240F">
        <w:rPr>
          <w:rStyle w:val="FootnoteReference"/>
          <w:rFonts w:cs="Times New Roman"/>
          <w:sz w:val="24"/>
          <w:szCs w:val="24"/>
        </w:rPr>
        <w:footnoteReference w:id="12"/>
      </w:r>
      <w:r w:rsidR="00EB160B">
        <w:rPr>
          <w:rFonts w:cs="Times New Roman"/>
          <w:szCs w:val="24"/>
        </w:rPr>
        <w:t xml:space="preserve"> </w:t>
      </w:r>
      <w:r w:rsidR="00B9240F">
        <w:rPr>
          <w:rFonts w:cs="Times New Roman"/>
          <w:szCs w:val="24"/>
        </w:rPr>
        <w:t xml:space="preserve"> </w:t>
      </w:r>
      <w:r w:rsidR="003D1585">
        <w:rPr>
          <w:rFonts w:cs="Times New Roman"/>
          <w:szCs w:val="24"/>
        </w:rPr>
        <w:t xml:space="preserve">Additionally, unlike every other substation site, CPS </w:t>
      </w:r>
      <w:r w:rsidR="00EB160B">
        <w:rPr>
          <w:rFonts w:cs="Times New Roman"/>
          <w:szCs w:val="24"/>
        </w:rPr>
        <w:t xml:space="preserve">Energy </w:t>
      </w:r>
      <w:r w:rsidR="003D1585">
        <w:rPr>
          <w:rFonts w:cs="Times New Roman"/>
          <w:szCs w:val="24"/>
        </w:rPr>
        <w:t>did not send notice to all individual landowners around Substation Site 7.</w:t>
      </w:r>
      <w:r w:rsidR="00E23340">
        <w:rPr>
          <w:rStyle w:val="FootnoteReference"/>
          <w:rFonts w:cs="Times New Roman"/>
          <w:sz w:val="24"/>
          <w:szCs w:val="24"/>
        </w:rPr>
        <w:footnoteReference w:id="13"/>
      </w:r>
      <w:r w:rsidR="003D1585">
        <w:rPr>
          <w:rFonts w:cs="Times New Roman"/>
          <w:szCs w:val="24"/>
        </w:rPr>
        <w:t xml:space="preserve">  </w:t>
      </w:r>
      <w:r w:rsidR="00A354D2">
        <w:rPr>
          <w:rFonts w:cs="Times New Roman"/>
          <w:szCs w:val="24"/>
        </w:rPr>
        <w:t>One individual,</w:t>
      </w:r>
      <w:r w:rsidR="00723A67">
        <w:rPr>
          <w:rFonts w:cs="Times New Roman"/>
          <w:szCs w:val="24"/>
        </w:rPr>
        <w:t xml:space="preserve"> Scott Luedke,</w:t>
      </w:r>
      <w:r w:rsidR="00A354D2">
        <w:rPr>
          <w:rFonts w:cs="Times New Roman"/>
          <w:szCs w:val="24"/>
        </w:rPr>
        <w:t xml:space="preserve"> who lives adjacent to Substation Site 7 and was not provided notice</w:t>
      </w:r>
      <w:r w:rsidR="00B9240F">
        <w:rPr>
          <w:rFonts w:cs="Times New Roman"/>
          <w:szCs w:val="24"/>
        </w:rPr>
        <w:t xml:space="preserve"> by CPS</w:t>
      </w:r>
      <w:r w:rsidR="00EB160B">
        <w:rPr>
          <w:rFonts w:cs="Times New Roman"/>
          <w:szCs w:val="24"/>
        </w:rPr>
        <w:t xml:space="preserve"> Energy</w:t>
      </w:r>
      <w:r w:rsidR="00B9240F">
        <w:rPr>
          <w:rFonts w:cs="Times New Roman"/>
          <w:szCs w:val="24"/>
        </w:rPr>
        <w:t>,</w:t>
      </w:r>
      <w:r w:rsidR="00A354D2">
        <w:rPr>
          <w:rFonts w:cs="Times New Roman"/>
          <w:szCs w:val="24"/>
        </w:rPr>
        <w:t xml:space="preserve"> attempted to intervene late, but his motion to intervene was denied.</w:t>
      </w:r>
      <w:r w:rsidR="00081F8B">
        <w:rPr>
          <w:rStyle w:val="FootnoteReference"/>
          <w:rFonts w:cs="Times New Roman"/>
          <w:szCs w:val="24"/>
        </w:rPr>
        <w:footnoteReference w:id="14"/>
      </w:r>
    </w:p>
    <w:p w14:paraId="458233AD" w14:textId="341EA0BC" w:rsidR="005F4019" w:rsidRDefault="005F4019" w:rsidP="00285E80">
      <w:pPr>
        <w:tabs>
          <w:tab w:val="left" w:pos="720"/>
          <w:tab w:val="left" w:pos="1080"/>
          <w:tab w:val="left" w:pos="1440"/>
        </w:tabs>
        <w:spacing w:after="0" w:line="480" w:lineRule="auto"/>
        <w:jc w:val="both"/>
        <w:rPr>
          <w:rFonts w:cs="Times New Roman"/>
          <w:szCs w:val="24"/>
        </w:rPr>
      </w:pPr>
      <w:r>
        <w:rPr>
          <w:rFonts w:cs="Times New Roman"/>
          <w:szCs w:val="24"/>
        </w:rPr>
        <w:tab/>
        <w:t>Then, CPS</w:t>
      </w:r>
      <w:r w:rsidR="00EB160B">
        <w:rPr>
          <w:rFonts w:cs="Times New Roman"/>
          <w:szCs w:val="24"/>
        </w:rPr>
        <w:t xml:space="preserve"> Energy</w:t>
      </w:r>
      <w:r>
        <w:rPr>
          <w:rFonts w:cs="Times New Roman"/>
          <w:szCs w:val="24"/>
        </w:rPr>
        <w:t xml:space="preserve"> entered into an agreement with Toutant Ranch LP and its related companies that reduced the routing diversity further by eliminating much of Segment 49.  This change is visible by comparing </w:t>
      </w:r>
      <w:r w:rsidR="00081F8B">
        <w:rPr>
          <w:rFonts w:cs="Times New Roman"/>
          <w:szCs w:val="24"/>
        </w:rPr>
        <w:t>F</w:t>
      </w:r>
      <w:r>
        <w:rPr>
          <w:rFonts w:cs="Times New Roman"/>
          <w:szCs w:val="24"/>
        </w:rPr>
        <w:t>igure 2-</w:t>
      </w:r>
      <w:r w:rsidR="00377499">
        <w:rPr>
          <w:rFonts w:cs="Times New Roman"/>
          <w:szCs w:val="24"/>
        </w:rPr>
        <w:t>4</w:t>
      </w:r>
      <w:r>
        <w:rPr>
          <w:rFonts w:cs="Times New Roman"/>
          <w:szCs w:val="24"/>
        </w:rPr>
        <w:t xml:space="preserve"> from the </w:t>
      </w:r>
      <w:r w:rsidR="00EB160B">
        <w:rPr>
          <w:rFonts w:cs="Times New Roman"/>
          <w:szCs w:val="24"/>
        </w:rPr>
        <w:t>O</w:t>
      </w:r>
      <w:r>
        <w:rPr>
          <w:rFonts w:cs="Times New Roman"/>
          <w:szCs w:val="24"/>
        </w:rPr>
        <w:t xml:space="preserve">riginal </w:t>
      </w:r>
      <w:r w:rsidR="00EB160B">
        <w:rPr>
          <w:rFonts w:cs="Times New Roman"/>
          <w:szCs w:val="24"/>
        </w:rPr>
        <w:t>A</w:t>
      </w:r>
      <w:r>
        <w:rPr>
          <w:rFonts w:cs="Times New Roman"/>
          <w:szCs w:val="24"/>
        </w:rPr>
        <w:t xml:space="preserve">pplication to </w:t>
      </w:r>
      <w:r w:rsidR="00081F8B">
        <w:rPr>
          <w:rFonts w:cs="Times New Roman"/>
          <w:szCs w:val="24"/>
        </w:rPr>
        <w:t>F</w:t>
      </w:r>
      <w:r>
        <w:rPr>
          <w:rFonts w:cs="Times New Roman"/>
          <w:szCs w:val="24"/>
        </w:rPr>
        <w:t xml:space="preserve">igure 2-4 from the </w:t>
      </w:r>
      <w:r w:rsidR="00081F8B">
        <w:rPr>
          <w:rFonts w:cs="Times New Roman"/>
          <w:szCs w:val="24"/>
        </w:rPr>
        <w:t>A</w:t>
      </w:r>
      <w:r>
        <w:rPr>
          <w:rFonts w:cs="Times New Roman"/>
          <w:szCs w:val="24"/>
        </w:rPr>
        <w:t xml:space="preserve">mended </w:t>
      </w:r>
      <w:r w:rsidR="00081F8B">
        <w:rPr>
          <w:rFonts w:cs="Times New Roman"/>
          <w:szCs w:val="24"/>
        </w:rPr>
        <w:t>A</w:t>
      </w:r>
      <w:r>
        <w:rPr>
          <w:rFonts w:cs="Times New Roman"/>
          <w:szCs w:val="24"/>
        </w:rPr>
        <w:t xml:space="preserve">pplication.  It is also discussed in detail in Tom Dreiss’ direct testimony, which is </w:t>
      </w:r>
      <w:r w:rsidR="00081F8B">
        <w:rPr>
          <w:rFonts w:cs="Times New Roman"/>
          <w:szCs w:val="24"/>
        </w:rPr>
        <w:t>Dreico Companies</w:t>
      </w:r>
      <w:r>
        <w:rPr>
          <w:rFonts w:cs="Times New Roman"/>
          <w:szCs w:val="24"/>
        </w:rPr>
        <w:t xml:space="preserve"> Ex. 1.</w:t>
      </w:r>
    </w:p>
    <w:p w14:paraId="3A82E519" w14:textId="5EDBAFCE" w:rsidR="00D714B0" w:rsidRPr="00B35C00" w:rsidRDefault="00D714B0" w:rsidP="00BE3521">
      <w:pPr>
        <w:pStyle w:val="CROutline2"/>
      </w:pPr>
      <w:bookmarkStart w:id="5" w:name="_Toc72496201"/>
      <w:r w:rsidRPr="00B35C00">
        <w:t>CPS</w:t>
      </w:r>
      <w:r w:rsidR="00134B94">
        <w:t xml:space="preserve"> </w:t>
      </w:r>
      <w:r w:rsidR="00BE6D9D">
        <w:t xml:space="preserve">Energy </w:t>
      </w:r>
      <w:r w:rsidR="00134B94">
        <w:t>failed to properly account for park and recreation areas</w:t>
      </w:r>
      <w:r w:rsidR="008D4F26">
        <w:t>.</w:t>
      </w:r>
      <w:bookmarkEnd w:id="5"/>
    </w:p>
    <w:p w14:paraId="36DE67AC" w14:textId="16092889" w:rsidR="007015B0" w:rsidRDefault="00A526B6"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B35C00">
        <w:rPr>
          <w:rFonts w:cs="Times New Roman"/>
          <w:szCs w:val="24"/>
        </w:rPr>
        <w:t>CPS</w:t>
      </w:r>
      <w:r w:rsidR="00EB160B">
        <w:rPr>
          <w:rFonts w:cs="Times New Roman"/>
          <w:szCs w:val="24"/>
        </w:rPr>
        <w:t xml:space="preserve"> Energy</w:t>
      </w:r>
      <w:r w:rsidR="00B35C00">
        <w:rPr>
          <w:rFonts w:cs="Times New Roman"/>
          <w:szCs w:val="24"/>
        </w:rPr>
        <w:t>’s Application provides th</w:t>
      </w:r>
      <w:r w:rsidR="00C86856">
        <w:rPr>
          <w:rFonts w:cs="Times New Roman"/>
          <w:szCs w:val="24"/>
        </w:rPr>
        <w:t xml:space="preserve">at </w:t>
      </w:r>
      <w:r w:rsidR="00B35C00">
        <w:rPr>
          <w:rFonts w:cs="Times New Roman"/>
          <w:szCs w:val="24"/>
        </w:rPr>
        <w:t xml:space="preserve">none of the routes cross </w:t>
      </w:r>
      <w:r w:rsidR="0074048C">
        <w:rPr>
          <w:rFonts w:cs="Times New Roman"/>
          <w:szCs w:val="24"/>
        </w:rPr>
        <w:t xml:space="preserve">or are located within 1,000 feet of any </w:t>
      </w:r>
      <w:r w:rsidR="00B35C00">
        <w:rPr>
          <w:rFonts w:cs="Times New Roman"/>
          <w:szCs w:val="24"/>
        </w:rPr>
        <w:t>park or recreational areas.</w:t>
      </w:r>
      <w:r w:rsidR="0074048C">
        <w:rPr>
          <w:rStyle w:val="FootnoteReference"/>
          <w:rFonts w:cs="Times New Roman"/>
          <w:sz w:val="24"/>
          <w:szCs w:val="24"/>
        </w:rPr>
        <w:footnoteReference w:id="15"/>
      </w:r>
      <w:r w:rsidR="00C86856">
        <w:rPr>
          <w:rFonts w:cs="Times New Roman"/>
          <w:szCs w:val="24"/>
        </w:rPr>
        <w:t xml:space="preserve">  Patrick Cleveland testified that High Country Ranch is a park and recreation area.</w:t>
      </w:r>
      <w:r w:rsidR="00EA423A">
        <w:rPr>
          <w:rStyle w:val="FootnoteReference"/>
          <w:rFonts w:cs="Times New Roman"/>
          <w:sz w:val="24"/>
          <w:szCs w:val="24"/>
        </w:rPr>
        <w:footnoteReference w:id="16"/>
      </w:r>
      <w:r w:rsidR="00C86856">
        <w:rPr>
          <w:rFonts w:cs="Times New Roman"/>
          <w:szCs w:val="24"/>
        </w:rPr>
        <w:t xml:space="preserve"> </w:t>
      </w:r>
      <w:r w:rsidR="00EA423A">
        <w:rPr>
          <w:rFonts w:cs="Times New Roman"/>
          <w:szCs w:val="24"/>
        </w:rPr>
        <w:t xml:space="preserve"> </w:t>
      </w:r>
      <w:r w:rsidR="00C86856">
        <w:rPr>
          <w:rFonts w:cs="Times New Roman"/>
          <w:szCs w:val="24"/>
        </w:rPr>
        <w:t xml:space="preserve">Steve Cichowski testified that Anaqua Springs has </w:t>
      </w:r>
      <w:r w:rsidR="0015526E">
        <w:rPr>
          <w:rFonts w:cs="Times New Roman"/>
          <w:szCs w:val="24"/>
        </w:rPr>
        <w:t>dedicated</w:t>
      </w:r>
      <w:r w:rsidR="00C86856">
        <w:rPr>
          <w:rFonts w:cs="Times New Roman"/>
          <w:szCs w:val="24"/>
        </w:rPr>
        <w:t xml:space="preserve"> parkland at its entrance over which the line would cross.</w:t>
      </w:r>
      <w:r w:rsidR="00EA423A">
        <w:rPr>
          <w:rStyle w:val="FootnoteReference"/>
          <w:rFonts w:cs="Times New Roman"/>
          <w:sz w:val="24"/>
          <w:szCs w:val="24"/>
        </w:rPr>
        <w:footnoteReference w:id="17"/>
      </w:r>
      <w:r w:rsidR="00076C58">
        <w:rPr>
          <w:rFonts w:cs="Times New Roman"/>
          <w:szCs w:val="24"/>
        </w:rPr>
        <w:t xml:space="preserve">  </w:t>
      </w:r>
      <w:r w:rsidR="00480DCE">
        <w:rPr>
          <w:rFonts w:cs="Times New Roman"/>
          <w:szCs w:val="24"/>
        </w:rPr>
        <w:t>Both of these parkland areas are owned by homeowners</w:t>
      </w:r>
      <w:r w:rsidR="00057A53">
        <w:rPr>
          <w:rFonts w:cs="Times New Roman"/>
          <w:szCs w:val="24"/>
        </w:rPr>
        <w:t>’</w:t>
      </w:r>
      <w:r w:rsidR="00480DCE">
        <w:rPr>
          <w:rFonts w:cs="Times New Roman"/>
          <w:szCs w:val="24"/>
        </w:rPr>
        <w:t xml:space="preserve"> </w:t>
      </w:r>
      <w:r w:rsidR="007C5A37">
        <w:rPr>
          <w:rFonts w:cs="Times New Roman"/>
          <w:szCs w:val="24"/>
        </w:rPr>
        <w:t>associations</w:t>
      </w:r>
      <w:r w:rsidR="00480DCE">
        <w:rPr>
          <w:rFonts w:cs="Times New Roman"/>
          <w:szCs w:val="24"/>
        </w:rPr>
        <w:t>.  CPS</w:t>
      </w:r>
      <w:r w:rsidR="00BE6D9D">
        <w:rPr>
          <w:rFonts w:cs="Times New Roman"/>
          <w:szCs w:val="24"/>
        </w:rPr>
        <w:t xml:space="preserve"> Energy</w:t>
      </w:r>
      <w:r w:rsidR="00480DCE">
        <w:rPr>
          <w:rFonts w:cs="Times New Roman"/>
          <w:szCs w:val="24"/>
        </w:rPr>
        <w:t xml:space="preserve"> witness Lisa Meaux and Staff witness John Poole agreed that a homeowners’ association is an organized group for </w:t>
      </w:r>
      <w:r w:rsidR="007C5A37">
        <w:rPr>
          <w:rFonts w:cs="Times New Roman"/>
          <w:szCs w:val="24"/>
        </w:rPr>
        <w:t>purposes</w:t>
      </w:r>
      <w:r w:rsidR="00480DCE">
        <w:rPr>
          <w:rFonts w:cs="Times New Roman"/>
          <w:szCs w:val="24"/>
        </w:rPr>
        <w:t xml:space="preserve"> of determin</w:t>
      </w:r>
      <w:r w:rsidR="00BC63CC">
        <w:rPr>
          <w:rFonts w:cs="Times New Roman"/>
          <w:szCs w:val="24"/>
        </w:rPr>
        <w:t>ing</w:t>
      </w:r>
      <w:r w:rsidR="00480DCE">
        <w:rPr>
          <w:rFonts w:cs="Times New Roman"/>
          <w:szCs w:val="24"/>
        </w:rPr>
        <w:t xml:space="preserve"> whether a parks and </w:t>
      </w:r>
      <w:r w:rsidR="007C5A37">
        <w:rPr>
          <w:rFonts w:cs="Times New Roman"/>
          <w:szCs w:val="24"/>
        </w:rPr>
        <w:t>recreation</w:t>
      </w:r>
      <w:r w:rsidR="00480DCE">
        <w:rPr>
          <w:rFonts w:cs="Times New Roman"/>
          <w:szCs w:val="24"/>
        </w:rPr>
        <w:t xml:space="preserve"> area is owned by an organized group to fit the definition of a parks and recreation </w:t>
      </w:r>
      <w:r w:rsidR="00480DCE">
        <w:rPr>
          <w:rFonts w:cs="Times New Roman"/>
          <w:szCs w:val="24"/>
        </w:rPr>
        <w:lastRenderedPageBreak/>
        <w:t>area.</w:t>
      </w:r>
      <w:r w:rsidR="004A633B">
        <w:rPr>
          <w:rStyle w:val="FootnoteReference"/>
          <w:rFonts w:cs="Times New Roman"/>
          <w:sz w:val="24"/>
          <w:szCs w:val="24"/>
        </w:rPr>
        <w:footnoteReference w:id="18"/>
      </w:r>
      <w:r w:rsidR="00480DCE">
        <w:rPr>
          <w:rFonts w:cs="Times New Roman"/>
          <w:szCs w:val="24"/>
        </w:rPr>
        <w:t xml:space="preserve"> </w:t>
      </w:r>
      <w:r w:rsidR="008202F1">
        <w:rPr>
          <w:rFonts w:cs="Times New Roman"/>
          <w:szCs w:val="24"/>
        </w:rPr>
        <w:t xml:space="preserve"> </w:t>
      </w:r>
      <w:r w:rsidR="00081F8B">
        <w:rPr>
          <w:rFonts w:cs="Times New Roman"/>
          <w:szCs w:val="24"/>
        </w:rPr>
        <w:t>CPS Energy made routing decisions with inaccurate information because it was unaware of parks and recreation areas</w:t>
      </w:r>
      <w:r w:rsidR="00076C58">
        <w:rPr>
          <w:rFonts w:cs="Times New Roman"/>
          <w:szCs w:val="24"/>
        </w:rPr>
        <w:t xml:space="preserve">.  </w:t>
      </w:r>
    </w:p>
    <w:p w14:paraId="73534B60" w14:textId="430E8DF0" w:rsidR="00B35C00" w:rsidRPr="00E006A0" w:rsidRDefault="00B35C00" w:rsidP="00BE3521">
      <w:pPr>
        <w:pStyle w:val="CROutline2"/>
      </w:pPr>
      <w:bookmarkStart w:id="6" w:name="_Toc72496202"/>
      <w:r w:rsidRPr="00E006A0">
        <w:t xml:space="preserve">CPS </w:t>
      </w:r>
      <w:r w:rsidR="00BE6D9D">
        <w:t xml:space="preserve">Energy </w:t>
      </w:r>
      <w:r w:rsidRPr="00E006A0">
        <w:t>was unaware of its own natural gas pipeline</w:t>
      </w:r>
      <w:r w:rsidR="008D4F26">
        <w:t>.</w:t>
      </w:r>
      <w:bookmarkEnd w:id="6"/>
      <w:r w:rsidRPr="00E006A0">
        <w:t xml:space="preserve"> </w:t>
      </w:r>
    </w:p>
    <w:p w14:paraId="330CEEF5" w14:textId="7864DA3F" w:rsidR="00382CB4" w:rsidRDefault="00382CB4" w:rsidP="00285E80">
      <w:pPr>
        <w:tabs>
          <w:tab w:val="left" w:pos="720"/>
          <w:tab w:val="left" w:pos="1080"/>
          <w:tab w:val="left" w:pos="1440"/>
        </w:tabs>
        <w:spacing w:after="0" w:line="480" w:lineRule="auto"/>
        <w:jc w:val="both"/>
        <w:rPr>
          <w:rFonts w:cs="Times New Roman"/>
          <w:szCs w:val="24"/>
        </w:rPr>
      </w:pPr>
      <w:r>
        <w:rPr>
          <w:rFonts w:cs="Times New Roman"/>
          <w:szCs w:val="24"/>
        </w:rPr>
        <w:tab/>
        <w:t>CPS Energy owns a natural gas distribution line that runs parallel to Toutant on the north side of the road.</w:t>
      </w:r>
      <w:r w:rsidR="002E0CDC">
        <w:rPr>
          <w:rFonts w:cs="Times New Roman"/>
          <w:szCs w:val="24"/>
        </w:rPr>
        <w:t xml:space="preserve">  There are risers along Toutant where the pipeline runs above ground.</w:t>
      </w:r>
      <w:r w:rsidR="00974F88">
        <w:rPr>
          <w:rStyle w:val="FootnoteReference"/>
          <w:rFonts w:cs="Times New Roman"/>
          <w:sz w:val="24"/>
          <w:szCs w:val="24"/>
        </w:rPr>
        <w:footnoteReference w:id="19"/>
      </w:r>
      <w:r w:rsidR="002E0CDC">
        <w:rPr>
          <w:rFonts w:cs="Times New Roman"/>
          <w:szCs w:val="24"/>
        </w:rPr>
        <w:t xml:space="preserve">  In discovery, CPS</w:t>
      </w:r>
      <w:r w:rsidR="00BE6D9D">
        <w:rPr>
          <w:rFonts w:cs="Times New Roman"/>
          <w:szCs w:val="24"/>
        </w:rPr>
        <w:t xml:space="preserve"> Energy</w:t>
      </w:r>
      <w:r w:rsidR="002E0CDC">
        <w:rPr>
          <w:rFonts w:cs="Times New Roman"/>
          <w:szCs w:val="24"/>
        </w:rPr>
        <w:t xml:space="preserve"> was asked whether there was a natural gas pipeline along Toutant, and CPS </w:t>
      </w:r>
      <w:r w:rsidR="00BE6D9D">
        <w:rPr>
          <w:rFonts w:cs="Times New Roman"/>
          <w:szCs w:val="24"/>
        </w:rPr>
        <w:t xml:space="preserve">Energy </w:t>
      </w:r>
      <w:r w:rsidR="002E0CDC">
        <w:rPr>
          <w:rFonts w:cs="Times New Roman"/>
          <w:szCs w:val="24"/>
        </w:rPr>
        <w:t>responded that they were unaware of any.  After being shown images of flags noting the pipeline location, CPS</w:t>
      </w:r>
      <w:r w:rsidR="00BE6D9D">
        <w:rPr>
          <w:rFonts w:cs="Times New Roman"/>
          <w:szCs w:val="24"/>
        </w:rPr>
        <w:t xml:space="preserve"> Energy</w:t>
      </w:r>
      <w:r w:rsidR="002E0CDC">
        <w:rPr>
          <w:rFonts w:cs="Times New Roman"/>
          <w:szCs w:val="24"/>
        </w:rPr>
        <w:t xml:space="preserve"> then indicated that there is a natural gas distribution line owned by </w:t>
      </w:r>
      <w:r w:rsidR="00BE6D9D" w:rsidRPr="00BE6D9D">
        <w:rPr>
          <w:rFonts w:cs="Times New Roman"/>
          <w:szCs w:val="24"/>
        </w:rPr>
        <w:t xml:space="preserve">CPS </w:t>
      </w:r>
      <w:r w:rsidR="00BE6D9D">
        <w:rPr>
          <w:rFonts w:cs="Times New Roman"/>
          <w:szCs w:val="24"/>
        </w:rPr>
        <w:t>Energy</w:t>
      </w:r>
      <w:r w:rsidR="002E0CDC">
        <w:rPr>
          <w:rFonts w:cs="Times New Roman"/>
          <w:szCs w:val="24"/>
        </w:rPr>
        <w:t xml:space="preserve"> itself.</w:t>
      </w:r>
      <w:r w:rsidR="00A94948" w:rsidRPr="00A94948">
        <w:rPr>
          <w:rStyle w:val="FootnoteReference"/>
          <w:rFonts w:cs="Times New Roman"/>
          <w:sz w:val="24"/>
          <w:szCs w:val="24"/>
        </w:rPr>
        <w:t xml:space="preserve"> </w:t>
      </w:r>
      <w:r w:rsidR="00A94948">
        <w:rPr>
          <w:rStyle w:val="FootnoteReference"/>
          <w:rFonts w:cs="Times New Roman"/>
          <w:sz w:val="24"/>
          <w:szCs w:val="24"/>
        </w:rPr>
        <w:footnoteReference w:id="20"/>
      </w:r>
      <w:r w:rsidR="005F04AA">
        <w:rPr>
          <w:rFonts w:cs="Times New Roman"/>
          <w:szCs w:val="24"/>
        </w:rPr>
        <w:t xml:space="preserve">  </w:t>
      </w:r>
      <w:r w:rsidR="00081F8B">
        <w:rPr>
          <w:rFonts w:cs="Times New Roman"/>
          <w:szCs w:val="24"/>
        </w:rPr>
        <w:t xml:space="preserve">Again, CPS Energy made routing decisions with inaccurate information because </w:t>
      </w:r>
      <w:r w:rsidR="00631588">
        <w:rPr>
          <w:rFonts w:cs="Times New Roman"/>
          <w:szCs w:val="24"/>
        </w:rPr>
        <w:t>it was unaware of the presence of the pipeline</w:t>
      </w:r>
      <w:r w:rsidR="00081F8B">
        <w:rPr>
          <w:rFonts w:cs="Times New Roman"/>
          <w:szCs w:val="24"/>
        </w:rPr>
        <w:t>.</w:t>
      </w:r>
    </w:p>
    <w:p w14:paraId="3FCEF657" w14:textId="20680BC1" w:rsidR="00584CB0" w:rsidRDefault="005256E4" w:rsidP="00BE3521">
      <w:pPr>
        <w:pStyle w:val="CROutline2"/>
      </w:pPr>
      <w:bookmarkStart w:id="7" w:name="_Toc72496203"/>
      <w:r>
        <w:t>CPS</w:t>
      </w:r>
      <w:r w:rsidR="00BE6D9D">
        <w:t xml:space="preserve"> Energy</w:t>
      </w:r>
      <w:r>
        <w:t xml:space="preserve"> </w:t>
      </w:r>
      <w:r w:rsidR="00134B94">
        <w:t>treated similarly situated individuals differently</w:t>
      </w:r>
      <w:r w:rsidR="008D4F26">
        <w:t>.</w:t>
      </w:r>
      <w:bookmarkEnd w:id="7"/>
    </w:p>
    <w:p w14:paraId="147F9D73" w14:textId="501591DB" w:rsidR="00584CB0" w:rsidRDefault="00DC2860" w:rsidP="00285E80">
      <w:pPr>
        <w:tabs>
          <w:tab w:val="left" w:pos="720"/>
          <w:tab w:val="left" w:pos="1080"/>
          <w:tab w:val="left" w:pos="1440"/>
        </w:tabs>
        <w:spacing w:after="0" w:line="480" w:lineRule="auto"/>
        <w:jc w:val="both"/>
        <w:rPr>
          <w:rFonts w:cs="Times New Roman"/>
          <w:szCs w:val="24"/>
        </w:rPr>
      </w:pPr>
      <w:r>
        <w:rPr>
          <w:rFonts w:cs="Times New Roman"/>
          <w:b/>
          <w:bCs/>
          <w:szCs w:val="24"/>
        </w:rPr>
        <w:tab/>
      </w:r>
      <w:r w:rsidR="00CC3355">
        <w:rPr>
          <w:rFonts w:cs="Times New Roman"/>
          <w:szCs w:val="24"/>
        </w:rPr>
        <w:t xml:space="preserve">CPS </w:t>
      </w:r>
      <w:r w:rsidR="00BE6D9D">
        <w:rPr>
          <w:rFonts w:cs="Times New Roman"/>
          <w:szCs w:val="24"/>
        </w:rPr>
        <w:t xml:space="preserve">Energy </w:t>
      </w:r>
      <w:r w:rsidR="00CC3355">
        <w:rPr>
          <w:rFonts w:cs="Times New Roman"/>
          <w:szCs w:val="24"/>
        </w:rPr>
        <w:t>provided notice to all landowners adjacent to all substation sites, except Substation Site 7.</w:t>
      </w:r>
      <w:r w:rsidR="007234DB">
        <w:rPr>
          <w:rFonts w:cs="Times New Roman"/>
          <w:szCs w:val="24"/>
        </w:rPr>
        <w:t xml:space="preserve">  Neighbors adjacent to Substation Site 7 who were not within 300 feet of the transmission line were not sent a landowner notice packet.  While CPS </w:t>
      </w:r>
      <w:r w:rsidR="00BE6D9D">
        <w:rPr>
          <w:rFonts w:cs="Times New Roman"/>
          <w:szCs w:val="24"/>
        </w:rPr>
        <w:t xml:space="preserve">Energy </w:t>
      </w:r>
      <w:r w:rsidR="007234DB">
        <w:rPr>
          <w:rFonts w:cs="Times New Roman"/>
          <w:szCs w:val="24"/>
        </w:rPr>
        <w:t>objected during the hearing multiple times to this line of questioning, it is, in the end</w:t>
      </w:r>
      <w:r w:rsidR="008202F1">
        <w:rPr>
          <w:rFonts w:cs="Times New Roman"/>
          <w:szCs w:val="24"/>
        </w:rPr>
        <w:t>,</w:t>
      </w:r>
      <w:r w:rsidR="007234DB">
        <w:rPr>
          <w:rFonts w:cs="Times New Roman"/>
          <w:szCs w:val="24"/>
        </w:rPr>
        <w:t xml:space="preserve"> undisputed that those individuals were not sent notice.  </w:t>
      </w:r>
      <w:r w:rsidR="00D0527C">
        <w:rPr>
          <w:rFonts w:cs="Times New Roman"/>
          <w:szCs w:val="24"/>
        </w:rPr>
        <w:t>Scott Luedke attempted to intervene once he learned of the construction of the transmission line.  He provided the location of his property, and a search of CPS</w:t>
      </w:r>
      <w:r w:rsidR="00BE6D9D">
        <w:rPr>
          <w:rFonts w:cs="Times New Roman"/>
          <w:szCs w:val="24"/>
        </w:rPr>
        <w:t xml:space="preserve"> Energy</w:t>
      </w:r>
      <w:r w:rsidR="00D0527C">
        <w:rPr>
          <w:rFonts w:cs="Times New Roman"/>
          <w:szCs w:val="24"/>
        </w:rPr>
        <w:t>’s landowner notice list (Attachment 8 to the Application) shows that Scott Lue</w:t>
      </w:r>
      <w:r w:rsidR="00D373B4">
        <w:rPr>
          <w:rFonts w:cs="Times New Roman"/>
          <w:szCs w:val="24"/>
        </w:rPr>
        <w:t>dk</w:t>
      </w:r>
      <w:r w:rsidR="00D0527C">
        <w:rPr>
          <w:rFonts w:cs="Times New Roman"/>
          <w:szCs w:val="24"/>
        </w:rPr>
        <w:t>e’s name does not appear as an individual who was sent notice.</w:t>
      </w:r>
      <w:r w:rsidR="00161C80">
        <w:rPr>
          <w:rFonts w:cs="Times New Roman"/>
          <w:szCs w:val="24"/>
        </w:rPr>
        <w:t xml:space="preserve">  </w:t>
      </w:r>
    </w:p>
    <w:p w14:paraId="6983F61C" w14:textId="668958D8" w:rsidR="003B6644" w:rsidRDefault="003B6644"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While it may be true that those individuals adjacent to Substation Site 7 were not entitled to notice under the </w:t>
      </w:r>
      <w:r w:rsidR="00F27DBE">
        <w:rPr>
          <w:rFonts w:cs="Times New Roman"/>
          <w:szCs w:val="24"/>
        </w:rPr>
        <w:t>Public Utility Commission of Texas’s (“</w:t>
      </w:r>
      <w:r>
        <w:rPr>
          <w:rFonts w:cs="Times New Roman"/>
          <w:szCs w:val="24"/>
        </w:rPr>
        <w:t>Commission</w:t>
      </w:r>
      <w:r w:rsidR="00F27DBE">
        <w:rPr>
          <w:rFonts w:cs="Times New Roman"/>
          <w:szCs w:val="24"/>
        </w:rPr>
        <w:t>”)</w:t>
      </w:r>
      <w:r>
        <w:rPr>
          <w:rFonts w:cs="Times New Roman"/>
          <w:szCs w:val="24"/>
        </w:rPr>
        <w:t xml:space="preserve"> notice rules, other </w:t>
      </w:r>
      <w:r>
        <w:rPr>
          <w:rFonts w:cs="Times New Roman"/>
          <w:szCs w:val="24"/>
        </w:rPr>
        <w:lastRenderedPageBreak/>
        <w:t>individuals around other substation sites, who were not otherwise required to receive notice, did in fact receive</w:t>
      </w:r>
      <w:r w:rsidR="006A246A">
        <w:rPr>
          <w:rFonts w:cs="Times New Roman"/>
          <w:szCs w:val="24"/>
        </w:rPr>
        <w:t xml:space="preserve"> direct mail notice</w:t>
      </w:r>
      <w:r>
        <w:rPr>
          <w:rFonts w:cs="Times New Roman"/>
          <w:szCs w:val="24"/>
        </w:rPr>
        <w:t>.</w:t>
      </w:r>
      <w:r w:rsidR="00D22FAB">
        <w:rPr>
          <w:rStyle w:val="FootnoteReference"/>
          <w:rFonts w:cs="Times New Roman"/>
          <w:sz w:val="24"/>
          <w:szCs w:val="24"/>
        </w:rPr>
        <w:footnoteReference w:id="21"/>
      </w:r>
      <w:r>
        <w:rPr>
          <w:rFonts w:cs="Times New Roman"/>
          <w:szCs w:val="24"/>
        </w:rPr>
        <w:t xml:space="preserve">  </w:t>
      </w:r>
    </w:p>
    <w:p w14:paraId="318D98C8" w14:textId="3E2251F3" w:rsidR="006A4883" w:rsidRDefault="006A4883" w:rsidP="00285E80">
      <w:pPr>
        <w:tabs>
          <w:tab w:val="left" w:pos="720"/>
          <w:tab w:val="left" w:pos="1080"/>
          <w:tab w:val="left" w:pos="1440"/>
        </w:tabs>
        <w:spacing w:after="0" w:line="480" w:lineRule="auto"/>
        <w:jc w:val="both"/>
        <w:rPr>
          <w:rFonts w:cs="Times New Roman"/>
          <w:szCs w:val="24"/>
        </w:rPr>
      </w:pPr>
      <w:r>
        <w:rPr>
          <w:rFonts w:cs="Times New Roman"/>
          <w:szCs w:val="24"/>
        </w:rPr>
        <w:tab/>
        <w:t>By not providing notice to those individuals</w:t>
      </w:r>
      <w:r w:rsidR="00450ADB">
        <w:rPr>
          <w:rFonts w:cs="Times New Roman"/>
          <w:szCs w:val="24"/>
        </w:rPr>
        <w:t xml:space="preserve"> adjacent to and surrounding Substation Site 7</w:t>
      </w:r>
      <w:r>
        <w:rPr>
          <w:rFonts w:cs="Times New Roman"/>
          <w:szCs w:val="24"/>
        </w:rPr>
        <w:t xml:space="preserve">, CPS </w:t>
      </w:r>
      <w:r w:rsidR="00BE6D9D">
        <w:rPr>
          <w:rFonts w:cs="Times New Roman"/>
          <w:szCs w:val="24"/>
        </w:rPr>
        <w:t xml:space="preserve">Energy </w:t>
      </w:r>
      <w:r>
        <w:rPr>
          <w:rFonts w:cs="Times New Roman"/>
          <w:szCs w:val="24"/>
        </w:rPr>
        <w:t>did not provide them the same opportunity to intervene and to participate in the docket</w:t>
      </w:r>
      <w:r w:rsidR="00812BE2">
        <w:rPr>
          <w:rFonts w:cs="Times New Roman"/>
          <w:szCs w:val="24"/>
        </w:rPr>
        <w:t xml:space="preserve"> to those people adjacent to and close to Substation Site 7</w:t>
      </w:r>
      <w:r>
        <w:rPr>
          <w:rFonts w:cs="Times New Roman"/>
          <w:szCs w:val="24"/>
        </w:rPr>
        <w:t xml:space="preserve"> as it did to others similarly situated.  </w:t>
      </w:r>
      <w:r w:rsidR="00812BE2">
        <w:rPr>
          <w:rFonts w:cs="Times New Roman"/>
          <w:szCs w:val="24"/>
        </w:rPr>
        <w:t>Again, this disparately impacts people who are affected by the routing on Toutant.</w:t>
      </w:r>
    </w:p>
    <w:p w14:paraId="39519F3E" w14:textId="52979D3D" w:rsidR="005256E4" w:rsidRDefault="005256E4" w:rsidP="00BE3521">
      <w:pPr>
        <w:pStyle w:val="CROutline2"/>
      </w:pPr>
      <w:bookmarkStart w:id="10" w:name="_Toc72496204"/>
      <w:r w:rsidRPr="00FE191B">
        <w:t xml:space="preserve">CPS </w:t>
      </w:r>
      <w:r w:rsidR="00BE6D9D">
        <w:t>Energy</w:t>
      </w:r>
      <w:r w:rsidR="00BE6D9D" w:rsidRPr="00FE191B">
        <w:t xml:space="preserve"> </w:t>
      </w:r>
      <w:r w:rsidRPr="00FE191B">
        <w:t xml:space="preserve">provided </w:t>
      </w:r>
      <w:r w:rsidR="00134B94">
        <w:t xml:space="preserve">unsubstantiated and </w:t>
      </w:r>
      <w:r w:rsidRPr="00FE191B">
        <w:t>inaccurate right-of-way</w:t>
      </w:r>
      <w:r w:rsidR="00134B94">
        <w:t xml:space="preserve"> costs</w:t>
      </w:r>
      <w:r w:rsidR="008D4F26">
        <w:t>.</w:t>
      </w:r>
      <w:bookmarkEnd w:id="10"/>
    </w:p>
    <w:p w14:paraId="3D945E67" w14:textId="45AEBE4E" w:rsidR="00C925A7" w:rsidRDefault="004E35FD" w:rsidP="00285E80">
      <w:pPr>
        <w:tabs>
          <w:tab w:val="left" w:pos="720"/>
          <w:tab w:val="left" w:pos="1080"/>
          <w:tab w:val="left" w:pos="1440"/>
        </w:tabs>
        <w:spacing w:after="0" w:line="480" w:lineRule="auto"/>
        <w:jc w:val="both"/>
        <w:rPr>
          <w:rFonts w:cs="Times New Roman"/>
          <w:szCs w:val="24"/>
        </w:rPr>
      </w:pPr>
      <w:r>
        <w:rPr>
          <w:rFonts w:cs="Times New Roman"/>
          <w:b/>
          <w:bCs/>
          <w:szCs w:val="24"/>
        </w:rPr>
        <w:tab/>
      </w:r>
      <w:r>
        <w:rPr>
          <w:rFonts w:cs="Times New Roman"/>
          <w:szCs w:val="24"/>
        </w:rPr>
        <w:t>CPS</w:t>
      </w:r>
      <w:r w:rsidR="00BE6D9D">
        <w:rPr>
          <w:rFonts w:cs="Times New Roman"/>
          <w:szCs w:val="24"/>
        </w:rPr>
        <w:t xml:space="preserve"> Energy</w:t>
      </w:r>
      <w:r>
        <w:rPr>
          <w:rFonts w:cs="Times New Roman"/>
          <w:szCs w:val="24"/>
        </w:rPr>
        <w:t xml:space="preserve"> assigned different values to right-of-way acquisition costs depending on the type of land.  </w:t>
      </w:r>
      <w:r w:rsidR="00390137">
        <w:rPr>
          <w:rFonts w:cs="Times New Roman"/>
          <w:szCs w:val="24"/>
        </w:rPr>
        <w:t xml:space="preserve">For example, raw land in Bexar Ranch was valued at </w:t>
      </w:r>
      <w:r w:rsidR="007F6C9A">
        <w:rPr>
          <w:rFonts w:cs="Times New Roman"/>
          <w:szCs w:val="24"/>
        </w:rPr>
        <w:t>50 cents</w:t>
      </w:r>
      <w:r w:rsidR="00390137">
        <w:rPr>
          <w:rFonts w:cs="Times New Roman"/>
          <w:szCs w:val="24"/>
        </w:rPr>
        <w:t xml:space="preserve"> per square foot, while developed property along Segment 54 was valued at </w:t>
      </w:r>
      <w:r w:rsidR="00C47402">
        <w:rPr>
          <w:rFonts w:cs="Times New Roman"/>
          <w:szCs w:val="24"/>
        </w:rPr>
        <w:t xml:space="preserve">$2.00 </w:t>
      </w:r>
      <w:r w:rsidR="00390137">
        <w:rPr>
          <w:rFonts w:cs="Times New Roman"/>
          <w:szCs w:val="24"/>
        </w:rPr>
        <w:t>per square foot.</w:t>
      </w:r>
      <w:r w:rsidR="0049225C">
        <w:rPr>
          <w:rStyle w:val="FootnoteReference"/>
          <w:rFonts w:cs="Times New Roman"/>
          <w:sz w:val="24"/>
          <w:szCs w:val="24"/>
        </w:rPr>
        <w:footnoteReference w:id="22"/>
      </w:r>
      <w:r w:rsidR="00C925A7">
        <w:rPr>
          <w:rFonts w:cs="Times New Roman"/>
          <w:szCs w:val="24"/>
        </w:rPr>
        <w:t xml:space="preserve"> </w:t>
      </w:r>
      <w:r w:rsidR="00324BA3">
        <w:rPr>
          <w:rFonts w:cs="Times New Roman"/>
          <w:szCs w:val="24"/>
        </w:rPr>
        <w:t xml:space="preserve"> </w:t>
      </w:r>
      <w:r w:rsidR="00C925A7">
        <w:rPr>
          <w:rFonts w:cs="Times New Roman"/>
          <w:szCs w:val="24"/>
        </w:rPr>
        <w:t xml:space="preserve">Yet for other land, the state of its development was not properly </w:t>
      </w:r>
      <w:r w:rsidR="005F26DF">
        <w:rPr>
          <w:rFonts w:cs="Times New Roman"/>
          <w:szCs w:val="24"/>
        </w:rPr>
        <w:t xml:space="preserve">recognized or </w:t>
      </w:r>
      <w:r w:rsidR="00C925A7">
        <w:rPr>
          <w:rFonts w:cs="Times New Roman"/>
          <w:szCs w:val="24"/>
        </w:rPr>
        <w:t>taken into account.</w:t>
      </w:r>
      <w:r w:rsidR="00C925A7">
        <w:rPr>
          <w:rStyle w:val="FootnoteReference"/>
          <w:rFonts w:cs="Times New Roman"/>
          <w:sz w:val="24"/>
          <w:szCs w:val="24"/>
        </w:rPr>
        <w:footnoteReference w:id="23"/>
      </w:r>
      <w:r w:rsidR="00C925A7">
        <w:rPr>
          <w:rFonts w:cs="Times New Roman"/>
          <w:szCs w:val="24"/>
        </w:rPr>
        <w:t xml:space="preserve">  Mr. Dreiss testified that he believed CPS </w:t>
      </w:r>
      <w:r w:rsidR="00BE6D9D">
        <w:rPr>
          <w:rFonts w:cs="Times New Roman"/>
          <w:szCs w:val="24"/>
        </w:rPr>
        <w:t xml:space="preserve">Energy </w:t>
      </w:r>
      <w:r w:rsidR="00C925A7">
        <w:rPr>
          <w:rFonts w:cs="Times New Roman"/>
          <w:szCs w:val="24"/>
        </w:rPr>
        <w:t>was unaware of the stage of his development at Pecan Springs.</w:t>
      </w:r>
      <w:r w:rsidR="000A42E5">
        <w:rPr>
          <w:rStyle w:val="FootnoteReference"/>
          <w:rFonts w:cs="Times New Roman"/>
          <w:sz w:val="24"/>
          <w:szCs w:val="24"/>
        </w:rPr>
        <w:footnoteReference w:id="24"/>
      </w:r>
      <w:r w:rsidR="00C925A7">
        <w:rPr>
          <w:rFonts w:cs="Times New Roman"/>
          <w:szCs w:val="24"/>
        </w:rPr>
        <w:t xml:space="preserve">  Indeed, although </w:t>
      </w:r>
      <w:r w:rsidR="000A42E5">
        <w:rPr>
          <w:rFonts w:cs="Times New Roman"/>
          <w:szCs w:val="24"/>
        </w:rPr>
        <w:t>Dreico Companies</w:t>
      </w:r>
      <w:r w:rsidR="005F26DF">
        <w:rPr>
          <w:rFonts w:cs="Times New Roman"/>
          <w:szCs w:val="24"/>
        </w:rPr>
        <w:t xml:space="preserve"> had finished building homes in Pecan Ranches prior to CPS </w:t>
      </w:r>
      <w:r w:rsidR="00BE6D9D">
        <w:rPr>
          <w:rFonts w:cs="Times New Roman"/>
          <w:szCs w:val="24"/>
        </w:rPr>
        <w:t xml:space="preserve">Energy </w:t>
      </w:r>
      <w:r w:rsidR="005F26DF">
        <w:rPr>
          <w:rFonts w:cs="Times New Roman"/>
          <w:szCs w:val="24"/>
        </w:rPr>
        <w:t>filing its application</w:t>
      </w:r>
      <w:r w:rsidR="00C925A7">
        <w:rPr>
          <w:rFonts w:cs="Times New Roman"/>
          <w:szCs w:val="24"/>
        </w:rPr>
        <w:t>, the original application estimated the value of th</w:t>
      </w:r>
      <w:r w:rsidR="005F26DF">
        <w:rPr>
          <w:rFonts w:cs="Times New Roman"/>
          <w:szCs w:val="24"/>
        </w:rPr>
        <w:t>is</w:t>
      </w:r>
      <w:r w:rsidR="00C925A7">
        <w:rPr>
          <w:rFonts w:cs="Times New Roman"/>
          <w:szCs w:val="24"/>
        </w:rPr>
        <w:t xml:space="preserve"> land at 50 cents per square foot.</w:t>
      </w:r>
      <w:r w:rsidR="005F26DF">
        <w:rPr>
          <w:rStyle w:val="FootnoteReference"/>
          <w:rFonts w:cs="Times New Roman"/>
          <w:sz w:val="24"/>
          <w:szCs w:val="24"/>
        </w:rPr>
        <w:footnoteReference w:id="25"/>
      </w:r>
      <w:r w:rsidR="006E5F92">
        <w:rPr>
          <w:rFonts w:cs="Times New Roman"/>
          <w:szCs w:val="24"/>
        </w:rPr>
        <w:t xml:space="preserve">  From the outset, CPS</w:t>
      </w:r>
      <w:r w:rsidR="00BE6D9D">
        <w:rPr>
          <w:rFonts w:cs="Times New Roman"/>
          <w:szCs w:val="24"/>
        </w:rPr>
        <w:t xml:space="preserve"> Energy</w:t>
      </w:r>
      <w:r w:rsidR="006E5F92">
        <w:rPr>
          <w:rFonts w:cs="Times New Roman"/>
          <w:szCs w:val="24"/>
        </w:rPr>
        <w:t>’s application was unreliable regarding the value of land along Toutant.</w:t>
      </w:r>
    </w:p>
    <w:p w14:paraId="69FA4C0D" w14:textId="655DA938" w:rsidR="00022E09" w:rsidRDefault="00C925A7" w:rsidP="00DF0A0B">
      <w:pPr>
        <w:tabs>
          <w:tab w:val="left" w:pos="720"/>
          <w:tab w:val="left" w:pos="1080"/>
          <w:tab w:val="left" w:pos="1440"/>
        </w:tabs>
        <w:spacing w:after="0" w:line="480" w:lineRule="auto"/>
        <w:jc w:val="both"/>
        <w:rPr>
          <w:rFonts w:cs="Times New Roman"/>
          <w:szCs w:val="24"/>
        </w:rPr>
      </w:pPr>
      <w:r>
        <w:rPr>
          <w:rFonts w:cs="Times New Roman"/>
          <w:szCs w:val="24"/>
        </w:rPr>
        <w:lastRenderedPageBreak/>
        <w:tab/>
      </w:r>
      <w:r w:rsidR="006E5F92">
        <w:rPr>
          <w:rFonts w:cs="Times New Roman"/>
          <w:szCs w:val="24"/>
        </w:rPr>
        <w:t>Moreover, subsequent changes in the study area undermine cost estimates provided in the application</w:t>
      </w:r>
      <w:r w:rsidR="00C02F40">
        <w:rPr>
          <w:rFonts w:cs="Times New Roman"/>
          <w:szCs w:val="24"/>
        </w:rPr>
        <w:t>.</w:t>
      </w:r>
      <w:r w:rsidR="00324BA3">
        <w:rPr>
          <w:rFonts w:cs="Times New Roman"/>
          <w:szCs w:val="24"/>
        </w:rPr>
        <w:t xml:space="preserve">  Notably, the formerly raw land to the west of Scenic Hills subdivision is now platted and under construction.</w:t>
      </w:r>
      <w:r w:rsidR="00D371A1">
        <w:rPr>
          <w:rStyle w:val="FootnoteReference"/>
          <w:rFonts w:cs="Times New Roman"/>
          <w:sz w:val="24"/>
          <w:szCs w:val="24"/>
        </w:rPr>
        <w:footnoteReference w:id="26"/>
      </w:r>
      <w:r w:rsidR="009132C9">
        <w:rPr>
          <w:rFonts w:cs="Times New Roman"/>
          <w:szCs w:val="24"/>
        </w:rPr>
        <w:t xml:space="preserve">  </w:t>
      </w:r>
      <w:r w:rsidR="00CB4D51" w:rsidRPr="006F02A8">
        <w:rPr>
          <w:rFonts w:cs="Times New Roman"/>
          <w:szCs w:val="24"/>
        </w:rPr>
        <w:t>As Mr</w:t>
      </w:r>
      <w:r w:rsidR="003A333F" w:rsidRPr="006F02A8">
        <w:rPr>
          <w:rFonts w:cs="Times New Roman"/>
          <w:szCs w:val="24"/>
        </w:rPr>
        <w:t>. Marin</w:t>
      </w:r>
      <w:r w:rsidR="00CB4D51" w:rsidRPr="006F02A8">
        <w:rPr>
          <w:rFonts w:cs="Times New Roman"/>
          <w:szCs w:val="24"/>
        </w:rPr>
        <w:t xml:space="preserve"> testified at hearing, the changes to the area that have occurred since the Application was filed should be considered.</w:t>
      </w:r>
      <w:r w:rsidR="003A333F">
        <w:rPr>
          <w:rStyle w:val="FootnoteReference"/>
          <w:rFonts w:cs="Times New Roman"/>
          <w:sz w:val="24"/>
          <w:szCs w:val="24"/>
        </w:rPr>
        <w:footnoteReference w:id="27"/>
      </w:r>
      <w:r w:rsidR="000A42E5">
        <w:rPr>
          <w:rFonts w:cs="Times New Roman"/>
          <w:szCs w:val="24"/>
        </w:rPr>
        <w:t xml:space="preserve">  </w:t>
      </w:r>
      <w:r w:rsidR="00220FE5">
        <w:rPr>
          <w:rFonts w:cs="Times New Roman"/>
          <w:szCs w:val="24"/>
        </w:rPr>
        <w:t>Right-of-way is more expensive on</w:t>
      </w:r>
      <w:r w:rsidR="009A4589">
        <w:rPr>
          <w:rFonts w:cs="Times New Roman"/>
          <w:szCs w:val="24"/>
        </w:rPr>
        <w:t xml:space="preserve"> </w:t>
      </w:r>
      <w:r w:rsidR="00220FE5">
        <w:rPr>
          <w:rFonts w:cs="Times New Roman"/>
          <w:szCs w:val="24"/>
        </w:rPr>
        <w:t>d</w:t>
      </w:r>
      <w:r w:rsidR="00A33CD0">
        <w:rPr>
          <w:rFonts w:cs="Times New Roman"/>
          <w:szCs w:val="24"/>
        </w:rPr>
        <w:t>eveloped</w:t>
      </w:r>
      <w:r w:rsidR="007378D7">
        <w:rPr>
          <w:rFonts w:cs="Times New Roman"/>
          <w:szCs w:val="24"/>
        </w:rPr>
        <w:t xml:space="preserve"> and developing</w:t>
      </w:r>
      <w:r w:rsidR="00A33CD0">
        <w:rPr>
          <w:rFonts w:cs="Times New Roman"/>
          <w:szCs w:val="24"/>
        </w:rPr>
        <w:t xml:space="preserve"> land </w:t>
      </w:r>
      <w:r w:rsidR="00220FE5">
        <w:rPr>
          <w:rFonts w:cs="Times New Roman"/>
          <w:szCs w:val="24"/>
        </w:rPr>
        <w:t>than on raw land.  For the most part, CPS</w:t>
      </w:r>
      <w:r w:rsidR="00BE6D9D">
        <w:rPr>
          <w:rFonts w:cs="Times New Roman"/>
          <w:szCs w:val="24"/>
        </w:rPr>
        <w:t xml:space="preserve"> Energy</w:t>
      </w:r>
      <w:r w:rsidR="00220FE5">
        <w:rPr>
          <w:rFonts w:cs="Times New Roman"/>
          <w:szCs w:val="24"/>
        </w:rPr>
        <w:t>’s application recognizes this fact, but it incorrectly calculated the value in Pecan Springs.</w:t>
      </w:r>
      <w:r w:rsidR="007378D7">
        <w:rPr>
          <w:rFonts w:cs="Times New Roman"/>
          <w:szCs w:val="24"/>
        </w:rPr>
        <w:t xml:space="preserve">  As such, CPS Energy’s routing was based, again, on inaccurate data.</w:t>
      </w:r>
      <w:r w:rsidR="00A33CD0">
        <w:rPr>
          <w:rFonts w:cs="Times New Roman"/>
          <w:szCs w:val="24"/>
        </w:rPr>
        <w:t xml:space="preserve">  </w:t>
      </w:r>
    </w:p>
    <w:p w14:paraId="1D3048B5" w14:textId="2499D6EB" w:rsidR="007F40CA" w:rsidRPr="004E35FD" w:rsidRDefault="00022E09" w:rsidP="00DF0A0B">
      <w:pPr>
        <w:tabs>
          <w:tab w:val="left" w:pos="720"/>
          <w:tab w:val="left" w:pos="1080"/>
          <w:tab w:val="left" w:pos="1440"/>
        </w:tabs>
        <w:spacing w:after="0" w:line="480" w:lineRule="auto"/>
        <w:jc w:val="both"/>
        <w:rPr>
          <w:rFonts w:cs="Times New Roman"/>
          <w:szCs w:val="24"/>
        </w:rPr>
      </w:pPr>
      <w:r>
        <w:rPr>
          <w:rFonts w:cs="Times New Roman"/>
          <w:szCs w:val="24"/>
        </w:rPr>
        <w:tab/>
      </w:r>
      <w:r w:rsidR="00134B94">
        <w:rPr>
          <w:rFonts w:cs="Times New Roman"/>
          <w:szCs w:val="24"/>
        </w:rPr>
        <w:t>Additional cost issues are</w:t>
      </w:r>
      <w:r w:rsidR="007F40CA">
        <w:rPr>
          <w:rFonts w:cs="Times New Roman"/>
          <w:szCs w:val="24"/>
        </w:rPr>
        <w:t xml:space="preserve"> addressed in Brad Jauer’s </w:t>
      </w:r>
      <w:r w:rsidR="00F27DBE">
        <w:rPr>
          <w:rFonts w:cs="Times New Roman"/>
          <w:szCs w:val="24"/>
        </w:rPr>
        <w:t xml:space="preserve">and BVJ Properties, L.L.C.’s (“Jauer”) </w:t>
      </w:r>
      <w:r w:rsidR="007F40CA">
        <w:rPr>
          <w:rFonts w:cs="Times New Roman"/>
          <w:szCs w:val="24"/>
        </w:rPr>
        <w:t>brief and adopted here by reference.</w:t>
      </w:r>
    </w:p>
    <w:p w14:paraId="34522CC1" w14:textId="6CF4CC3E" w:rsidR="0071224F" w:rsidRDefault="0071224F" w:rsidP="00BE3521">
      <w:pPr>
        <w:pStyle w:val="CROutline2"/>
      </w:pPr>
      <w:bookmarkStart w:id="11" w:name="_Toc72496205"/>
      <w:r w:rsidRPr="00474BE2">
        <w:t xml:space="preserve">CPS </w:t>
      </w:r>
      <w:r w:rsidR="00BE6D9D">
        <w:t>Energy</w:t>
      </w:r>
      <w:r w:rsidR="00BE6D9D" w:rsidRPr="00474BE2">
        <w:t xml:space="preserve"> </w:t>
      </w:r>
      <w:r w:rsidRPr="00474BE2">
        <w:t xml:space="preserve">failed to conduct </w:t>
      </w:r>
      <w:r w:rsidR="00134B94">
        <w:t>accurate</w:t>
      </w:r>
      <w:r w:rsidRPr="00474BE2">
        <w:t xml:space="preserve"> habitable structure counts.</w:t>
      </w:r>
      <w:bookmarkEnd w:id="11"/>
    </w:p>
    <w:p w14:paraId="4BE0ECC8" w14:textId="5B05C726" w:rsidR="002E2ED1" w:rsidRDefault="00474BE2" w:rsidP="00DF0A0B">
      <w:pPr>
        <w:tabs>
          <w:tab w:val="left" w:pos="720"/>
          <w:tab w:val="left" w:pos="1080"/>
          <w:tab w:val="left" w:pos="1440"/>
        </w:tabs>
        <w:spacing w:after="0" w:line="480" w:lineRule="auto"/>
        <w:jc w:val="both"/>
        <w:rPr>
          <w:rFonts w:cs="Times New Roman"/>
          <w:szCs w:val="24"/>
        </w:rPr>
      </w:pPr>
      <w:r>
        <w:rPr>
          <w:rFonts w:cs="Times New Roman"/>
          <w:szCs w:val="24"/>
        </w:rPr>
        <w:tab/>
      </w:r>
      <w:r w:rsidR="00FF6068">
        <w:rPr>
          <w:rFonts w:cs="Times New Roman"/>
          <w:szCs w:val="24"/>
        </w:rPr>
        <w:t xml:space="preserve">CPS </w:t>
      </w:r>
      <w:r w:rsidR="005F65A0">
        <w:rPr>
          <w:rFonts w:cs="Times New Roman"/>
          <w:szCs w:val="24"/>
        </w:rPr>
        <w:t xml:space="preserve">Energy </w:t>
      </w:r>
      <w:r w:rsidR="00FF6068">
        <w:rPr>
          <w:rFonts w:cs="Times New Roman"/>
          <w:szCs w:val="24"/>
        </w:rPr>
        <w:t xml:space="preserve">failed to count numerous habitable structures that were plainly visible on its satellite images.  This issue will be discussed more fully below.  But the omitted </w:t>
      </w:r>
      <w:r w:rsidR="007A71A1">
        <w:rPr>
          <w:rFonts w:cs="Times New Roman"/>
          <w:szCs w:val="24"/>
        </w:rPr>
        <w:t>habitable</w:t>
      </w:r>
      <w:r w:rsidR="00FF6068">
        <w:rPr>
          <w:rFonts w:cs="Times New Roman"/>
          <w:szCs w:val="24"/>
        </w:rPr>
        <w:t xml:space="preserve"> structures included the guardhouse at the gate of Anaqua Springs as well as a residence at the southern border of Anaqua Springs.  A</w:t>
      </w:r>
      <w:r w:rsidR="007A71A1">
        <w:rPr>
          <w:rFonts w:cs="Times New Roman"/>
          <w:szCs w:val="24"/>
        </w:rPr>
        <w:t xml:space="preserve">nother </w:t>
      </w:r>
      <w:r w:rsidR="00FF6068">
        <w:rPr>
          <w:rFonts w:cs="Times New Roman"/>
          <w:szCs w:val="24"/>
        </w:rPr>
        <w:t>home on Anaqua</w:t>
      </w:r>
      <w:r w:rsidR="00CA7E63">
        <w:rPr>
          <w:rFonts w:cs="Times New Roman"/>
          <w:szCs w:val="24"/>
        </w:rPr>
        <w:t xml:space="preserve"> Spring</w:t>
      </w:r>
      <w:r w:rsidR="00113B88">
        <w:rPr>
          <w:rFonts w:cs="Times New Roman"/>
          <w:szCs w:val="24"/>
        </w:rPr>
        <w:t>s</w:t>
      </w:r>
      <w:r w:rsidR="00FF6068">
        <w:rPr>
          <w:rFonts w:cs="Times New Roman"/>
          <w:szCs w:val="24"/>
        </w:rPr>
        <w:t>’ southern border was constructed before the application was filed.</w:t>
      </w:r>
      <w:r w:rsidR="00FF6068">
        <w:rPr>
          <w:rStyle w:val="FootnoteReference"/>
          <w:rFonts w:cs="Times New Roman"/>
          <w:sz w:val="24"/>
          <w:szCs w:val="24"/>
        </w:rPr>
        <w:footnoteReference w:id="28"/>
      </w:r>
      <w:r>
        <w:rPr>
          <w:rFonts w:cs="Times New Roman"/>
          <w:szCs w:val="24"/>
        </w:rPr>
        <w:t xml:space="preserve">  </w:t>
      </w:r>
    </w:p>
    <w:p w14:paraId="3F64AC56" w14:textId="0EEC0FA6" w:rsidR="00474BE2" w:rsidRDefault="002E2ED1" w:rsidP="00DF0A0B">
      <w:pPr>
        <w:tabs>
          <w:tab w:val="left" w:pos="720"/>
          <w:tab w:val="left" w:pos="1080"/>
          <w:tab w:val="left" w:pos="1440"/>
        </w:tabs>
        <w:spacing w:after="0" w:line="480" w:lineRule="auto"/>
        <w:jc w:val="both"/>
        <w:rPr>
          <w:rFonts w:cs="Times New Roman"/>
          <w:szCs w:val="24"/>
        </w:rPr>
      </w:pPr>
      <w:r>
        <w:rPr>
          <w:rFonts w:cs="Times New Roman"/>
          <w:szCs w:val="24"/>
        </w:rPr>
        <w:tab/>
      </w:r>
      <w:r w:rsidR="007A71A1">
        <w:rPr>
          <w:rFonts w:cs="Times New Roman"/>
          <w:szCs w:val="24"/>
        </w:rPr>
        <w:t xml:space="preserve">Inaccuracies and inconsistencies related to substation diversity, parkland designations, habitable structure counts, pipelines, and other infrastructure result in an </w:t>
      </w:r>
      <w:r w:rsidR="00901781">
        <w:rPr>
          <w:rFonts w:cs="Times New Roman"/>
          <w:szCs w:val="24"/>
        </w:rPr>
        <w:t>a</w:t>
      </w:r>
      <w:r w:rsidR="007A71A1">
        <w:rPr>
          <w:rFonts w:cs="Times New Roman"/>
          <w:szCs w:val="24"/>
        </w:rPr>
        <w:t xml:space="preserve">pplication that </w:t>
      </w:r>
      <w:r w:rsidR="00574209">
        <w:rPr>
          <w:rFonts w:cs="Times New Roman"/>
          <w:szCs w:val="24"/>
        </w:rPr>
        <w:t>is based on incomplete and inaccurate data</w:t>
      </w:r>
      <w:r w:rsidR="007A71A1">
        <w:rPr>
          <w:rFonts w:cs="Times New Roman"/>
          <w:szCs w:val="24"/>
        </w:rPr>
        <w:t xml:space="preserve">. </w:t>
      </w:r>
      <w:r w:rsidR="00591C02">
        <w:rPr>
          <w:rFonts w:cs="Times New Roman"/>
          <w:szCs w:val="24"/>
        </w:rPr>
        <w:t xml:space="preserve"> </w:t>
      </w:r>
      <w:r w:rsidR="0035138B">
        <w:rPr>
          <w:rFonts w:cs="Times New Roman"/>
          <w:szCs w:val="24"/>
        </w:rPr>
        <w:t>P</w:t>
      </w:r>
      <w:r w:rsidR="00591C02">
        <w:rPr>
          <w:rFonts w:cs="Times New Roman"/>
          <w:szCs w:val="24"/>
        </w:rPr>
        <w:t xml:space="preserve">arties </w:t>
      </w:r>
      <w:r w:rsidR="0035138B">
        <w:rPr>
          <w:rFonts w:cs="Times New Roman"/>
          <w:szCs w:val="24"/>
        </w:rPr>
        <w:t xml:space="preserve">should be </w:t>
      </w:r>
      <w:r w:rsidR="00591C02">
        <w:rPr>
          <w:rFonts w:cs="Times New Roman"/>
          <w:szCs w:val="24"/>
        </w:rPr>
        <w:t>able to rely on the data provided by an applicant, and many parties did simply rely on the data contained in CPS</w:t>
      </w:r>
      <w:r w:rsidR="005F65A0">
        <w:rPr>
          <w:rFonts w:cs="Times New Roman"/>
          <w:szCs w:val="24"/>
        </w:rPr>
        <w:t xml:space="preserve"> Energy</w:t>
      </w:r>
      <w:r w:rsidR="00591C02">
        <w:rPr>
          <w:rFonts w:cs="Times New Roman"/>
          <w:szCs w:val="24"/>
        </w:rPr>
        <w:t>’s application.  However, a number of parties</w:t>
      </w:r>
      <w:r w:rsidR="00D72D67">
        <w:rPr>
          <w:rFonts w:cs="Times New Roman"/>
          <w:szCs w:val="24"/>
        </w:rPr>
        <w:t xml:space="preserve">, including Anaqua Springs </w:t>
      </w:r>
      <w:r w:rsidR="00F81AFD">
        <w:rPr>
          <w:rFonts w:cs="Times New Roman"/>
          <w:szCs w:val="24"/>
        </w:rPr>
        <w:t xml:space="preserve">HOA </w:t>
      </w:r>
      <w:r w:rsidR="00D72D67">
        <w:rPr>
          <w:rFonts w:cs="Times New Roman"/>
          <w:szCs w:val="24"/>
        </w:rPr>
        <w:t>and Jauer</w:t>
      </w:r>
      <w:r w:rsidR="00000B35">
        <w:rPr>
          <w:rFonts w:cs="Times New Roman"/>
          <w:szCs w:val="24"/>
        </w:rPr>
        <w:t>,</w:t>
      </w:r>
      <w:r w:rsidR="00591C02">
        <w:rPr>
          <w:rFonts w:cs="Times New Roman"/>
          <w:szCs w:val="24"/>
        </w:rPr>
        <w:t xml:space="preserve"> investigated the </w:t>
      </w:r>
      <w:r w:rsidR="00365BDE">
        <w:rPr>
          <w:rFonts w:cs="Times New Roman"/>
          <w:szCs w:val="24"/>
        </w:rPr>
        <w:lastRenderedPageBreak/>
        <w:t xml:space="preserve">underlying data to determine its accuracy.  As a result of those investigations, </w:t>
      </w:r>
      <w:r w:rsidR="00574209">
        <w:rPr>
          <w:rFonts w:cs="Times New Roman"/>
          <w:szCs w:val="24"/>
        </w:rPr>
        <w:t>parties discovered errors and</w:t>
      </w:r>
      <w:r w:rsidR="00365BDE">
        <w:rPr>
          <w:rFonts w:cs="Times New Roman"/>
          <w:szCs w:val="24"/>
        </w:rPr>
        <w:t xml:space="preserve"> constraints in the study area</w:t>
      </w:r>
      <w:r w:rsidR="00EF521A">
        <w:rPr>
          <w:rFonts w:cs="Times New Roman"/>
          <w:szCs w:val="24"/>
        </w:rPr>
        <w:t xml:space="preserve"> about which CPS Energy was unaware</w:t>
      </w:r>
      <w:r w:rsidR="00365BDE">
        <w:rPr>
          <w:rFonts w:cs="Times New Roman"/>
          <w:szCs w:val="24"/>
        </w:rPr>
        <w:t xml:space="preserve">.  </w:t>
      </w:r>
      <w:r w:rsidR="00EF521A">
        <w:rPr>
          <w:rFonts w:cs="Times New Roman"/>
          <w:szCs w:val="24"/>
        </w:rPr>
        <w:t>G</w:t>
      </w:r>
      <w:r w:rsidR="00365BDE">
        <w:rPr>
          <w:rFonts w:cs="Times New Roman"/>
          <w:szCs w:val="24"/>
        </w:rPr>
        <w:t xml:space="preserve">iven the lack of due diligence in the application, it is likely </w:t>
      </w:r>
      <w:r w:rsidR="009E0413">
        <w:rPr>
          <w:rFonts w:cs="Times New Roman"/>
          <w:szCs w:val="24"/>
        </w:rPr>
        <w:t xml:space="preserve">that </w:t>
      </w:r>
      <w:r w:rsidR="00365BDE">
        <w:rPr>
          <w:rFonts w:cs="Times New Roman"/>
          <w:szCs w:val="24"/>
        </w:rPr>
        <w:t xml:space="preserve">more constraints exist that CPS </w:t>
      </w:r>
      <w:r w:rsidR="005F65A0">
        <w:rPr>
          <w:rFonts w:cs="Times New Roman"/>
          <w:szCs w:val="24"/>
        </w:rPr>
        <w:t xml:space="preserve">Energy </w:t>
      </w:r>
      <w:r w:rsidR="00365BDE">
        <w:rPr>
          <w:rFonts w:cs="Times New Roman"/>
          <w:szCs w:val="24"/>
        </w:rPr>
        <w:t>did not accurately record in its application</w:t>
      </w:r>
      <w:r w:rsidR="009E0413">
        <w:rPr>
          <w:rFonts w:cs="Times New Roman"/>
          <w:szCs w:val="24"/>
        </w:rPr>
        <w:t>, which can impact cost and feasibility</w:t>
      </w:r>
      <w:r w:rsidR="00365BDE">
        <w:rPr>
          <w:rFonts w:cs="Times New Roman"/>
          <w:szCs w:val="24"/>
        </w:rPr>
        <w:t>.</w:t>
      </w:r>
      <w:r w:rsidR="006B3F3F">
        <w:rPr>
          <w:rFonts w:cs="Times New Roman"/>
          <w:szCs w:val="24"/>
        </w:rPr>
        <w:t xml:space="preserve">  </w:t>
      </w:r>
      <w:r w:rsidR="00C24CA3">
        <w:rPr>
          <w:rFonts w:cs="Times New Roman"/>
          <w:szCs w:val="24"/>
        </w:rPr>
        <w:t>Therefore, Anaqua Springs HOA respectfully requests that the ALJs and ultimately the Commission evaluate CPS</w:t>
      </w:r>
      <w:r w:rsidR="005F65A0" w:rsidRPr="005F65A0">
        <w:rPr>
          <w:rFonts w:cs="Times New Roman"/>
          <w:szCs w:val="24"/>
        </w:rPr>
        <w:t xml:space="preserve"> </w:t>
      </w:r>
      <w:r w:rsidR="005F65A0">
        <w:rPr>
          <w:rFonts w:cs="Times New Roman"/>
          <w:szCs w:val="24"/>
        </w:rPr>
        <w:t>Energy</w:t>
      </w:r>
      <w:r w:rsidR="00C24CA3">
        <w:rPr>
          <w:rFonts w:cs="Times New Roman"/>
          <w:szCs w:val="24"/>
        </w:rPr>
        <w:t>’s Application in that light.</w:t>
      </w:r>
    </w:p>
    <w:p w14:paraId="2A218ED8" w14:textId="3A98C568" w:rsidR="00E153C9" w:rsidRDefault="00E153C9" w:rsidP="00E153C9">
      <w:pPr>
        <w:pStyle w:val="CROutline2"/>
      </w:pPr>
      <w:bookmarkStart w:id="12" w:name="_Toc72496206"/>
      <w:r>
        <w:t xml:space="preserve">CPS </w:t>
      </w:r>
      <w:r w:rsidR="005F65A0">
        <w:t xml:space="preserve">Energy </w:t>
      </w:r>
      <w:r w:rsidR="00134B94">
        <w:t>waited until one week before the hearing</w:t>
      </w:r>
      <w:r>
        <w:t xml:space="preserve"> to provide critical ROW data that </w:t>
      </w:r>
      <w:r w:rsidR="00134B94">
        <w:t>implicates the community’s</w:t>
      </w:r>
      <w:r>
        <w:t xml:space="preserve"> safety.</w:t>
      </w:r>
      <w:bookmarkEnd w:id="12"/>
    </w:p>
    <w:p w14:paraId="797DE6FA" w14:textId="710F1FAF" w:rsidR="00E153C9" w:rsidRDefault="00E153C9" w:rsidP="00134B94">
      <w:pPr>
        <w:spacing w:after="0" w:line="480" w:lineRule="auto"/>
        <w:jc w:val="both"/>
      </w:pPr>
      <w:r>
        <w:tab/>
        <w:t>In the errata to Scott Lyssy’s rebuttal testimony and in supplements to discovery requests, CPS Energy provided information about portions of the transmission line that will use road right-of-way in routing the transmission line.</w:t>
      </w:r>
      <w:r w:rsidRPr="00C46F6A">
        <w:rPr>
          <w:rStyle w:val="FootnoteReference"/>
          <w:sz w:val="24"/>
          <w:szCs w:val="24"/>
        </w:rPr>
        <w:footnoteReference w:id="29"/>
      </w:r>
      <w:r w:rsidRPr="00C46F6A">
        <w:rPr>
          <w:szCs w:val="24"/>
        </w:rPr>
        <w:t xml:space="preserve"> </w:t>
      </w:r>
      <w:r>
        <w:t xml:space="preserve"> That information was provided on April 26, 2021, and the hearing on the merits started on May 3, 2021, so there was no opportunity for the parties to evaluate the information before the hearing.  Prior to those filings, CPS</w:t>
      </w:r>
      <w:r w:rsidR="005F65A0">
        <w:t xml:space="preserve"> </w:t>
      </w:r>
      <w:r w:rsidR="005F65A0">
        <w:rPr>
          <w:rFonts w:cs="Times New Roman"/>
          <w:szCs w:val="24"/>
        </w:rPr>
        <w:t>Energy</w:t>
      </w:r>
      <w:r>
        <w:t xml:space="preserve"> had not designated any specific locations where road right-of-way would be used. The arguments related to these omissions are included in Jauer’s brief, and Anaqua Springs HOA adopts them by reference.  </w:t>
      </w:r>
    </w:p>
    <w:p w14:paraId="69169B8C" w14:textId="7A87AFF1" w:rsidR="00E153C9" w:rsidRDefault="00E153C9" w:rsidP="00E153C9">
      <w:pPr>
        <w:spacing w:after="0" w:line="480" w:lineRule="auto"/>
        <w:jc w:val="both"/>
      </w:pPr>
      <w:r>
        <w:tab/>
        <w:t>In addition to the arguments presented in Jauer’s brief on this issue, Anaqua Springs HOA would assert that by routing along Toutant, and in particular routing within the road right-of-way, CPS Energy has failed to consider the potential impact on the community in the event of a failure of the transmission line.  In general, according to CPS Energy, when transmission line structures fall, they tend to fall within 45 degrees of the right-of-way.</w:t>
      </w:r>
      <w:r>
        <w:rPr>
          <w:rStyle w:val="FootnoteReference"/>
        </w:rPr>
        <w:footnoteReference w:id="30"/>
      </w:r>
      <w:r>
        <w:t xml:space="preserve">  If the structures were to fall within 45 degrees of the right-of-way, at least along Segment 54, there are towers within the road right-</w:t>
      </w:r>
      <w:r>
        <w:lastRenderedPageBreak/>
        <w:t xml:space="preserve">of-way where the towers could fall in the road.  A review of Mr. Lyssy’s map of the right-of-way </w:t>
      </w:r>
      <w:r w:rsidR="00CF4AEC">
        <w:rPr>
          <w:noProof/>
        </w:rPr>
        <w:drawing>
          <wp:anchor distT="0" distB="0" distL="114300" distR="114300" simplePos="0" relativeHeight="251662336" behindDoc="1" locked="0" layoutInCell="1" allowOverlap="1" wp14:anchorId="6C0FF37D" wp14:editId="58DCF42E">
            <wp:simplePos x="0" y="0"/>
            <wp:positionH relativeFrom="column">
              <wp:posOffset>117475</wp:posOffset>
            </wp:positionH>
            <wp:positionV relativeFrom="paragraph">
              <wp:posOffset>662640</wp:posOffset>
            </wp:positionV>
            <wp:extent cx="5732890" cy="4321717"/>
            <wp:effectExtent l="0" t="0" r="1270" b="31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732890" cy="4321717"/>
                    </a:xfrm>
                    <a:prstGeom prst="rect">
                      <a:avLst/>
                    </a:prstGeom>
                  </pic:spPr>
                </pic:pic>
              </a:graphicData>
            </a:graphic>
            <wp14:sizeRelH relativeFrom="page">
              <wp14:pctWidth>0</wp14:pctWidth>
            </wp14:sizeRelH>
            <wp14:sizeRelV relativeFrom="page">
              <wp14:pctHeight>0</wp14:pctHeight>
            </wp14:sizeRelV>
          </wp:anchor>
        </w:drawing>
      </w:r>
      <w:r>
        <w:t>along Segment 54 illustrates this point.</w:t>
      </w:r>
    </w:p>
    <w:p w14:paraId="5226D02A" w14:textId="335655F2" w:rsidR="00D75B00" w:rsidRPr="00D75B00" w:rsidRDefault="00D75B00" w:rsidP="00D75B00">
      <w:pPr>
        <w:tabs>
          <w:tab w:val="left" w:pos="720"/>
          <w:tab w:val="left" w:pos="1080"/>
          <w:tab w:val="left" w:pos="1440"/>
        </w:tabs>
        <w:spacing w:after="0" w:line="480" w:lineRule="auto"/>
        <w:jc w:val="both"/>
        <w:rPr>
          <w:rFonts w:cs="Times New Roman"/>
          <w:szCs w:val="24"/>
        </w:rPr>
      </w:pPr>
    </w:p>
    <w:p w14:paraId="44CA9C52" w14:textId="53701865" w:rsidR="00D75B00" w:rsidRDefault="00D75B00" w:rsidP="00D75B00"/>
    <w:p w14:paraId="2829C2A6" w14:textId="2FBBCB8A" w:rsidR="00D75B00" w:rsidRDefault="00D75B00" w:rsidP="00D75B00"/>
    <w:p w14:paraId="2969A384" w14:textId="4BE75205" w:rsidR="00D75B00" w:rsidRDefault="00D75B00" w:rsidP="00D75B00"/>
    <w:p w14:paraId="044260F6" w14:textId="018E7A5D" w:rsidR="00D75B00" w:rsidRDefault="00D75B00" w:rsidP="00D75B00"/>
    <w:p w14:paraId="45E0AEE5" w14:textId="77777777" w:rsidR="003E6F08" w:rsidRDefault="003E6F08" w:rsidP="00E153C9">
      <w:pPr>
        <w:spacing w:after="0" w:line="480" w:lineRule="auto"/>
        <w:jc w:val="both"/>
      </w:pPr>
    </w:p>
    <w:p w14:paraId="0C8AF4E8" w14:textId="77777777" w:rsidR="003E6F08" w:rsidRDefault="003E6F08" w:rsidP="00E153C9">
      <w:pPr>
        <w:spacing w:after="0" w:line="480" w:lineRule="auto"/>
        <w:jc w:val="both"/>
      </w:pPr>
    </w:p>
    <w:p w14:paraId="7217136E" w14:textId="77777777" w:rsidR="003E6F08" w:rsidRDefault="003E6F08" w:rsidP="00E153C9">
      <w:pPr>
        <w:spacing w:after="0" w:line="480" w:lineRule="auto"/>
        <w:jc w:val="both"/>
      </w:pPr>
    </w:p>
    <w:p w14:paraId="1EA0FC14" w14:textId="77777777" w:rsidR="003E6F08" w:rsidRDefault="003E6F08" w:rsidP="00E153C9">
      <w:pPr>
        <w:spacing w:after="0" w:line="480" w:lineRule="auto"/>
        <w:jc w:val="both"/>
      </w:pPr>
    </w:p>
    <w:p w14:paraId="33161E85" w14:textId="77777777" w:rsidR="003E6F08" w:rsidRDefault="003E6F08" w:rsidP="00E153C9">
      <w:pPr>
        <w:spacing w:after="0" w:line="480" w:lineRule="auto"/>
        <w:jc w:val="both"/>
      </w:pPr>
    </w:p>
    <w:p w14:paraId="223573FD" w14:textId="77777777" w:rsidR="003E6F08" w:rsidRDefault="003E6F08" w:rsidP="00E153C9">
      <w:pPr>
        <w:spacing w:after="0" w:line="480" w:lineRule="auto"/>
        <w:jc w:val="both"/>
      </w:pPr>
    </w:p>
    <w:p w14:paraId="1EC1FA9B" w14:textId="77777777" w:rsidR="003E6F08" w:rsidRDefault="003E6F08" w:rsidP="00E153C9">
      <w:pPr>
        <w:spacing w:after="0" w:line="480" w:lineRule="auto"/>
        <w:jc w:val="both"/>
      </w:pPr>
    </w:p>
    <w:p w14:paraId="2F08CAE6" w14:textId="77777777" w:rsidR="003E6F08" w:rsidRDefault="003E6F08" w:rsidP="00E153C9">
      <w:pPr>
        <w:spacing w:after="0" w:line="480" w:lineRule="auto"/>
        <w:jc w:val="both"/>
      </w:pPr>
    </w:p>
    <w:p w14:paraId="31A4C74E" w14:textId="52417D42" w:rsidR="00E153C9" w:rsidRPr="00E153C9" w:rsidRDefault="00E153C9" w:rsidP="00E153C9">
      <w:pPr>
        <w:spacing w:after="0" w:line="480" w:lineRule="auto"/>
        <w:jc w:val="both"/>
      </w:pPr>
      <w:r w:rsidRPr="00E153C9">
        <w:tab/>
        <w:t>As discussed at the hearing, Toutant is the main access road through this part of the community.  There are no access points from the west or southwest to any of the subdivisions along Toutant, which include Anaqua Springs, Sundance Ranch, and Pecan Springs.</w:t>
      </w:r>
      <w:r w:rsidRPr="00E153C9">
        <w:rPr>
          <w:vertAlign w:val="superscript"/>
        </w:rPr>
        <w:footnoteReference w:id="31"/>
      </w:r>
      <w:r w:rsidRPr="00E153C9">
        <w:t xml:space="preserve">  Serene and Scenic Hills can be reached from Toutant near the node at Segments 13, 14, and 5 and also on Segment 54.  The only other access to these subdivisions is from Boerne, Texas where Upper Balcones Road exits off of I-10 in Boerne and becomes Toutant.  Should a transmission line fail, and a tower fall into Toutant, blocking the road, emergency services vehicles would be unable to access the subdivisions from the east. This community is already at risk from flooding, as </w:t>
      </w:r>
      <w:r w:rsidRPr="00E153C9">
        <w:lastRenderedPageBreak/>
        <w:t>evidenced by the flood gauges and gates along Toutant that close the road when there is flooding.</w:t>
      </w:r>
      <w:r w:rsidRPr="00E153C9">
        <w:rPr>
          <w:vertAlign w:val="superscript"/>
        </w:rPr>
        <w:footnoteReference w:id="32"/>
      </w:r>
      <w:r w:rsidRPr="00E153C9">
        <w:t xml:space="preserve">  Adding transmission lines along the only road to access the community unnecessarily increases the risk to them.  By way of comparison, while the only access to Toutant is from the intersection at Boerne Stage Road or from Boerne in the far north and out of the study area, Scenic Loop Road can be accessed from a number of cross streets.  The cross streets and the length of Toutant visible on Ms. Meaux’s rebuttal habitable structure map are shown on Attachment </w:t>
      </w:r>
      <w:r w:rsidR="005F65A0">
        <w:t>1</w:t>
      </w:r>
      <w:r w:rsidRPr="00E153C9">
        <w:t xml:space="preserve"> to this brief.</w:t>
      </w:r>
    </w:p>
    <w:p w14:paraId="148DA301" w14:textId="5DF0EDDA" w:rsidR="00CF4231" w:rsidRDefault="00CF4231" w:rsidP="009E5BEB">
      <w:pPr>
        <w:pStyle w:val="CROutline1"/>
        <w:ind w:left="720"/>
      </w:pPr>
      <w:bookmarkStart w:id="13" w:name="_Toc72496207"/>
      <w:r>
        <w:t xml:space="preserve">PRELIMINARY </w:t>
      </w:r>
      <w:r w:rsidRPr="00D75B00">
        <w:t>ORDER</w:t>
      </w:r>
      <w:r>
        <w:t xml:space="preserve"> ISSUE 4:</w:t>
      </w:r>
      <w:r w:rsidRPr="00CF4231">
        <w:t xml:space="preserve"> </w:t>
      </w:r>
      <w:r w:rsidRPr="00A646FE">
        <w:t>Which proposed transmission line route is the best alternative weighing the factors set forth in PURA § 37.056(c) and 16 TAC §</w:t>
      </w:r>
      <w:r w:rsidR="001B3E24">
        <w:t> </w:t>
      </w:r>
      <w:r w:rsidRPr="00A646FE">
        <w:t>25.101(b)(3)(B)?</w:t>
      </w:r>
      <w:bookmarkEnd w:id="13"/>
      <w:r w:rsidRPr="00A646FE">
        <w:t xml:space="preserve"> </w:t>
      </w:r>
    </w:p>
    <w:p w14:paraId="3CADD911" w14:textId="356F40BE" w:rsidR="00CF4231" w:rsidRPr="001B7E60" w:rsidRDefault="00CF4231" w:rsidP="00DF0A0B">
      <w:pPr>
        <w:tabs>
          <w:tab w:val="left" w:pos="720"/>
          <w:tab w:val="left" w:pos="1080"/>
          <w:tab w:val="left" w:pos="1440"/>
        </w:tabs>
        <w:spacing w:after="0" w:line="480" w:lineRule="auto"/>
        <w:jc w:val="both"/>
        <w:rPr>
          <w:rFonts w:cs="Times New Roman"/>
          <w:szCs w:val="24"/>
        </w:rPr>
      </w:pPr>
      <w:r>
        <w:rPr>
          <w:rFonts w:cs="Times New Roman"/>
          <w:szCs w:val="24"/>
        </w:rPr>
        <w:tab/>
        <w:t>A route that does not parallel Toutant is the best alternative.  The factors set forth in PURA § 37.056(c) and 16 TAC § 25.101(b)(3)(B) are addressed below.</w:t>
      </w:r>
    </w:p>
    <w:p w14:paraId="3627392E" w14:textId="394A81F5" w:rsidR="00416BD7" w:rsidRPr="00507A39" w:rsidRDefault="00416BD7" w:rsidP="00BE3521">
      <w:pPr>
        <w:pStyle w:val="CROutline2"/>
      </w:pPr>
      <w:bookmarkStart w:id="14" w:name="_Toc72496208"/>
      <w:r w:rsidRPr="00507A39">
        <w:t>Routing Criteria under PURA § 37.056(c)(4)</w:t>
      </w:r>
      <w:bookmarkEnd w:id="14"/>
    </w:p>
    <w:p w14:paraId="4E9612A3" w14:textId="3C936085" w:rsidR="00DF5B8C" w:rsidRDefault="00CF4231" w:rsidP="00BE3521">
      <w:pPr>
        <w:pStyle w:val="CROutline3"/>
      </w:pPr>
      <w:bookmarkStart w:id="15" w:name="_Toc72496209"/>
      <w:r>
        <w:t>Adequacy of existing service and need for service</w:t>
      </w:r>
      <w:bookmarkEnd w:id="15"/>
    </w:p>
    <w:p w14:paraId="40D5292E" w14:textId="32D99932" w:rsidR="00CF4231" w:rsidRPr="00253BAF" w:rsidRDefault="00253BAF" w:rsidP="00134B94">
      <w:pPr>
        <w:jc w:val="both"/>
        <w:rPr>
          <w:rFonts w:cs="Times New Roman"/>
          <w:szCs w:val="24"/>
        </w:rPr>
      </w:pPr>
      <w:r w:rsidRPr="00253BAF">
        <w:rPr>
          <w:rFonts w:cs="Times New Roman"/>
          <w:szCs w:val="24"/>
        </w:rPr>
        <w:tab/>
      </w:r>
      <w:r w:rsidR="005135C1" w:rsidRPr="00253BAF">
        <w:rPr>
          <w:rFonts w:cs="Times New Roman"/>
          <w:szCs w:val="24"/>
        </w:rPr>
        <w:t>Anaqua Springs HOA does not contest these issues.</w:t>
      </w:r>
    </w:p>
    <w:p w14:paraId="19C970DB" w14:textId="7A686273" w:rsidR="00416BD7" w:rsidRPr="00507A39" w:rsidRDefault="00416BD7" w:rsidP="00134B94">
      <w:pPr>
        <w:pStyle w:val="CROutline3"/>
        <w:tabs>
          <w:tab w:val="clear" w:pos="1152"/>
        </w:tabs>
      </w:pPr>
      <w:bookmarkStart w:id="16" w:name="_Toc72496210"/>
      <w:r w:rsidRPr="00507A39">
        <w:t>Community Values</w:t>
      </w:r>
      <w:bookmarkEnd w:id="16"/>
    </w:p>
    <w:p w14:paraId="2C3DB8EA" w14:textId="2EE2C34C" w:rsidR="00BA496D" w:rsidRDefault="0010231C" w:rsidP="00253BAF">
      <w:pPr>
        <w:tabs>
          <w:tab w:val="left" w:pos="720"/>
          <w:tab w:val="left" w:pos="1080"/>
          <w:tab w:val="left" w:pos="1440"/>
        </w:tabs>
        <w:spacing w:after="0" w:line="480" w:lineRule="auto"/>
        <w:jc w:val="both"/>
        <w:rPr>
          <w:rFonts w:cs="Times New Roman"/>
          <w:szCs w:val="24"/>
        </w:rPr>
      </w:pPr>
      <w:r>
        <w:rPr>
          <w:rFonts w:cs="Times New Roman"/>
          <w:szCs w:val="24"/>
        </w:rPr>
        <w:tab/>
      </w:r>
      <w:r w:rsidR="001F22F2">
        <w:rPr>
          <w:rFonts w:cs="Times New Roman"/>
          <w:szCs w:val="24"/>
        </w:rPr>
        <w:t xml:space="preserve">Community values in this case heavily </w:t>
      </w:r>
      <w:r w:rsidR="00CF3130">
        <w:rPr>
          <w:rFonts w:cs="Times New Roman"/>
          <w:szCs w:val="24"/>
        </w:rPr>
        <w:t>favor</w:t>
      </w:r>
      <w:r w:rsidR="001F22F2">
        <w:rPr>
          <w:rFonts w:cs="Times New Roman"/>
          <w:szCs w:val="24"/>
        </w:rPr>
        <w:t xml:space="preserve"> avoiding residences and avoiding schools.</w:t>
      </w:r>
      <w:r w:rsidR="00D371A1">
        <w:rPr>
          <w:rStyle w:val="FootnoteReference"/>
          <w:rFonts w:cs="Times New Roman"/>
          <w:sz w:val="24"/>
          <w:szCs w:val="24"/>
        </w:rPr>
        <w:footnoteReference w:id="33"/>
      </w:r>
      <w:r w:rsidR="001F22F2">
        <w:rPr>
          <w:rFonts w:cs="Times New Roman"/>
          <w:szCs w:val="24"/>
        </w:rPr>
        <w:t xml:space="preserve">  In this case, there is only one public school, Sara McAndrew </w:t>
      </w:r>
      <w:r w:rsidR="00B051BA">
        <w:rPr>
          <w:rFonts w:cs="Times New Roman"/>
          <w:szCs w:val="24"/>
        </w:rPr>
        <w:t>Elementary</w:t>
      </w:r>
      <w:r w:rsidR="001F22F2">
        <w:rPr>
          <w:rFonts w:cs="Times New Roman"/>
          <w:szCs w:val="24"/>
        </w:rPr>
        <w:t>.  The vast majority of CPS</w:t>
      </w:r>
      <w:r w:rsidR="005F65A0">
        <w:rPr>
          <w:rFonts w:cs="Times New Roman"/>
          <w:szCs w:val="24"/>
        </w:rPr>
        <w:t xml:space="preserve"> Energy</w:t>
      </w:r>
      <w:r w:rsidR="001F22F2">
        <w:rPr>
          <w:rFonts w:cs="Times New Roman"/>
          <w:szCs w:val="24"/>
        </w:rPr>
        <w:t xml:space="preserve">’s northern routes run either across </w:t>
      </w:r>
      <w:r w:rsidR="00987708">
        <w:rPr>
          <w:rFonts w:cs="Times New Roman"/>
          <w:szCs w:val="24"/>
        </w:rPr>
        <w:t>Northside</w:t>
      </w:r>
      <w:r w:rsidR="001F22F2">
        <w:rPr>
          <w:rFonts w:cs="Times New Roman"/>
          <w:szCs w:val="24"/>
        </w:rPr>
        <w:t xml:space="preserve"> </w:t>
      </w:r>
      <w:r w:rsidR="007C4F91">
        <w:rPr>
          <w:rFonts w:cs="Times New Roman"/>
          <w:szCs w:val="24"/>
        </w:rPr>
        <w:t>Independent</w:t>
      </w:r>
      <w:r w:rsidR="001F22F2">
        <w:rPr>
          <w:rFonts w:cs="Times New Roman"/>
          <w:szCs w:val="24"/>
        </w:rPr>
        <w:t xml:space="preserve"> School District</w:t>
      </w:r>
      <w:r w:rsidR="00AF29E5">
        <w:rPr>
          <w:rFonts w:cs="Times New Roman"/>
          <w:szCs w:val="24"/>
        </w:rPr>
        <w:t xml:space="preserve"> (“NISD”)</w:t>
      </w:r>
      <w:r w:rsidR="001F22F2">
        <w:rPr>
          <w:rFonts w:cs="Times New Roman"/>
          <w:szCs w:val="24"/>
        </w:rPr>
        <w:t xml:space="preserve"> property, across the street from the school, or just behind the school building.  </w:t>
      </w:r>
      <w:r w:rsidR="005D38DF">
        <w:rPr>
          <w:rFonts w:cs="Times New Roman"/>
          <w:szCs w:val="24"/>
        </w:rPr>
        <w:t>Completely avoiding the school and the hundreds of children, teachers, and parents to study, work, and attend functions at the school aligns with the community values expressed at the open house.</w:t>
      </w:r>
      <w:r w:rsidR="00BA496D">
        <w:rPr>
          <w:rFonts w:cs="Times New Roman"/>
          <w:szCs w:val="24"/>
        </w:rPr>
        <w:t xml:space="preserve">  </w:t>
      </w:r>
      <w:r w:rsidR="00EF521A">
        <w:rPr>
          <w:rFonts w:cs="Times New Roman"/>
          <w:szCs w:val="24"/>
        </w:rPr>
        <w:t xml:space="preserve">It is possible to completely avoid the school by choosing one of the routes that does not utilize Segments 42a, 41, </w:t>
      </w:r>
      <w:r w:rsidR="00EF521A">
        <w:rPr>
          <w:rFonts w:cs="Times New Roman"/>
          <w:szCs w:val="24"/>
        </w:rPr>
        <w:lastRenderedPageBreak/>
        <w:t xml:space="preserve">36 or 35.  </w:t>
      </w:r>
      <w:r w:rsidR="00BA496D">
        <w:rPr>
          <w:rFonts w:cs="Times New Roman"/>
          <w:szCs w:val="24"/>
        </w:rPr>
        <w:t>Further briefing on the issues related to McAndrew Elementary are contained in NISD’s initial brief and are adopted here by reference.</w:t>
      </w:r>
    </w:p>
    <w:p w14:paraId="52981C94" w14:textId="6C04C476" w:rsidR="001F51A1" w:rsidRDefault="001F51A1"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It is </w:t>
      </w:r>
      <w:r w:rsidR="00EF521A">
        <w:rPr>
          <w:rFonts w:cs="Times New Roman"/>
          <w:szCs w:val="24"/>
        </w:rPr>
        <w:t xml:space="preserve">also </w:t>
      </w:r>
      <w:r>
        <w:rPr>
          <w:rFonts w:cs="Times New Roman"/>
          <w:szCs w:val="24"/>
        </w:rPr>
        <w:t xml:space="preserve">possible to avoid a large number of </w:t>
      </w:r>
      <w:r w:rsidR="00EF521A">
        <w:rPr>
          <w:rFonts w:cs="Times New Roman"/>
          <w:szCs w:val="24"/>
        </w:rPr>
        <w:t>homes and other habitable structures</w:t>
      </w:r>
      <w:r>
        <w:rPr>
          <w:rFonts w:cs="Times New Roman"/>
          <w:szCs w:val="24"/>
        </w:rPr>
        <w:t>.  Route Z1 is within 300 feet of at least 31 habitable structures.</w:t>
      </w:r>
      <w:r>
        <w:rPr>
          <w:rStyle w:val="FootnoteReference"/>
          <w:rFonts w:cs="Times New Roman"/>
          <w:sz w:val="24"/>
          <w:szCs w:val="24"/>
        </w:rPr>
        <w:footnoteReference w:id="34"/>
      </w:r>
      <w:r>
        <w:rPr>
          <w:rFonts w:cs="Times New Roman"/>
          <w:szCs w:val="24"/>
        </w:rPr>
        <w:t xml:space="preserve">  Habitable structure counts </w:t>
      </w:r>
      <w:r w:rsidR="00EF521A">
        <w:rPr>
          <w:rFonts w:cs="Times New Roman"/>
          <w:szCs w:val="24"/>
        </w:rPr>
        <w:t xml:space="preserve">on the routes </w:t>
      </w:r>
      <w:r>
        <w:rPr>
          <w:rFonts w:cs="Times New Roman"/>
          <w:szCs w:val="24"/>
        </w:rPr>
        <w:t>range from a high of approximately 72, to a low of 12.</w:t>
      </w:r>
      <w:r>
        <w:rPr>
          <w:rStyle w:val="FootnoteReference"/>
          <w:rFonts w:cs="Times New Roman"/>
          <w:sz w:val="24"/>
          <w:szCs w:val="24"/>
        </w:rPr>
        <w:footnoteReference w:id="35"/>
      </w:r>
      <w:r>
        <w:rPr>
          <w:rFonts w:cs="Times New Roman"/>
          <w:szCs w:val="24"/>
        </w:rPr>
        <w:t xml:space="preserve">  </w:t>
      </w:r>
      <w:r w:rsidR="00EF521A">
        <w:rPr>
          <w:rFonts w:cs="Times New Roman"/>
          <w:szCs w:val="24"/>
        </w:rPr>
        <w:t xml:space="preserve">At least two </w:t>
      </w:r>
      <w:r>
        <w:rPr>
          <w:rFonts w:cs="Times New Roman"/>
          <w:szCs w:val="24"/>
        </w:rPr>
        <w:t xml:space="preserve">of the homes within 300 feet </w:t>
      </w:r>
      <w:r w:rsidR="00EF521A">
        <w:rPr>
          <w:rFonts w:cs="Times New Roman"/>
          <w:szCs w:val="24"/>
        </w:rPr>
        <w:t>of S</w:t>
      </w:r>
      <w:r>
        <w:rPr>
          <w:rFonts w:cs="Times New Roman"/>
          <w:szCs w:val="24"/>
        </w:rPr>
        <w:t xml:space="preserve">egment 26a were built since the time the Application was filed.  For example, </w:t>
      </w:r>
      <w:r w:rsidR="00420709">
        <w:rPr>
          <w:rFonts w:cs="Times New Roman"/>
          <w:szCs w:val="24"/>
        </w:rPr>
        <w:t>habitable</w:t>
      </w:r>
      <w:r>
        <w:rPr>
          <w:rFonts w:cs="Times New Roman"/>
          <w:szCs w:val="24"/>
        </w:rPr>
        <w:t xml:space="preserve"> structure number 1</w:t>
      </w:r>
      <w:r w:rsidR="00420709">
        <w:rPr>
          <w:rFonts w:cs="Times New Roman"/>
          <w:szCs w:val="24"/>
        </w:rPr>
        <w:t xml:space="preserve">98 was built after the line and was the impetus behind moving Segment 26 onto other landowners’ properties </w:t>
      </w:r>
      <w:r w:rsidR="00EF521A">
        <w:rPr>
          <w:rFonts w:cs="Times New Roman"/>
          <w:szCs w:val="24"/>
        </w:rPr>
        <w:t>because it was</w:t>
      </w:r>
      <w:r w:rsidR="00420709">
        <w:rPr>
          <w:rFonts w:cs="Times New Roman"/>
          <w:szCs w:val="24"/>
        </w:rPr>
        <w:t xml:space="preserve"> built it directly under the line.</w:t>
      </w:r>
      <w:r w:rsidR="00792A96">
        <w:rPr>
          <w:rStyle w:val="FootnoteReference"/>
          <w:rFonts w:cs="Times New Roman"/>
          <w:sz w:val="24"/>
          <w:szCs w:val="24"/>
        </w:rPr>
        <w:footnoteReference w:id="36"/>
      </w:r>
      <w:r w:rsidR="00420709">
        <w:rPr>
          <w:rFonts w:cs="Times New Roman"/>
          <w:szCs w:val="24"/>
        </w:rPr>
        <w:t xml:space="preserve">  </w:t>
      </w:r>
      <w:r w:rsidR="002D12DC">
        <w:rPr>
          <w:rFonts w:cs="Times New Roman"/>
          <w:szCs w:val="24"/>
        </w:rPr>
        <w:t xml:space="preserve">Habitable structure numbers 199 and 209 were also built after the notice of the </w:t>
      </w:r>
      <w:r w:rsidR="00EF521A">
        <w:rPr>
          <w:rFonts w:cs="Times New Roman"/>
          <w:szCs w:val="24"/>
        </w:rPr>
        <w:t>A</w:t>
      </w:r>
      <w:r w:rsidR="002D12DC">
        <w:rPr>
          <w:rFonts w:cs="Times New Roman"/>
          <w:szCs w:val="24"/>
        </w:rPr>
        <w:t>pplication</w:t>
      </w:r>
      <w:r w:rsidR="00BB4188">
        <w:rPr>
          <w:rFonts w:cs="Times New Roman"/>
          <w:szCs w:val="24"/>
        </w:rPr>
        <w:t>.</w:t>
      </w:r>
    </w:p>
    <w:p w14:paraId="5FFB3E8C" w14:textId="3BF655D0" w:rsidR="00416BD7" w:rsidRPr="00507A39" w:rsidRDefault="00416BD7" w:rsidP="00BE3521">
      <w:pPr>
        <w:pStyle w:val="CROutline3"/>
      </w:pPr>
      <w:bookmarkStart w:id="18" w:name="_Toc72496211"/>
      <w:r w:rsidRPr="00507A39">
        <w:t>Historical Values</w:t>
      </w:r>
      <w:bookmarkEnd w:id="18"/>
      <w:r w:rsidR="00507A39">
        <w:t xml:space="preserve">  </w:t>
      </w:r>
    </w:p>
    <w:p w14:paraId="09D6BBA9" w14:textId="0DF1D5D0" w:rsidR="008E0F93" w:rsidRDefault="008E0F93" w:rsidP="00285E80">
      <w:pPr>
        <w:tabs>
          <w:tab w:val="left" w:pos="720"/>
          <w:tab w:val="left" w:pos="1080"/>
          <w:tab w:val="left" w:pos="1440"/>
        </w:tabs>
        <w:spacing w:after="0" w:line="480" w:lineRule="auto"/>
        <w:jc w:val="both"/>
        <w:rPr>
          <w:rFonts w:cs="Times New Roman"/>
          <w:szCs w:val="24"/>
        </w:rPr>
      </w:pPr>
      <w:r>
        <w:rPr>
          <w:rFonts w:cs="Times New Roman"/>
          <w:szCs w:val="24"/>
        </w:rPr>
        <w:tab/>
        <w:t>The historical values analysis is contained in the briefs of Jauer and Rose Palace/Strait Promotions</w:t>
      </w:r>
      <w:r w:rsidR="00F27DBE">
        <w:rPr>
          <w:rFonts w:cs="Times New Roman"/>
          <w:szCs w:val="24"/>
        </w:rPr>
        <w:t xml:space="preserve"> (“Rose Palace”)</w:t>
      </w:r>
      <w:r>
        <w:rPr>
          <w:rFonts w:cs="Times New Roman"/>
          <w:szCs w:val="24"/>
        </w:rPr>
        <w:t>, and Anaqua Springs</w:t>
      </w:r>
      <w:r w:rsidR="00F27DBE">
        <w:rPr>
          <w:rFonts w:cs="Times New Roman"/>
          <w:szCs w:val="24"/>
        </w:rPr>
        <w:t xml:space="preserve"> HOA</w:t>
      </w:r>
      <w:r>
        <w:rPr>
          <w:rFonts w:cs="Times New Roman"/>
          <w:szCs w:val="24"/>
        </w:rPr>
        <w:t xml:space="preserve"> adopts those arguments by reference.</w:t>
      </w:r>
    </w:p>
    <w:p w14:paraId="449B7B84" w14:textId="59D16AF8" w:rsidR="00416BD7" w:rsidRPr="00705D50" w:rsidRDefault="007A2880" w:rsidP="00BE3521">
      <w:pPr>
        <w:pStyle w:val="CROutline3"/>
      </w:pPr>
      <w:bookmarkStart w:id="19" w:name="_Toc72496212"/>
      <w:r w:rsidRPr="00705D50">
        <w:t>Parks and recreation areas</w:t>
      </w:r>
      <w:bookmarkEnd w:id="19"/>
    </w:p>
    <w:p w14:paraId="4213630F" w14:textId="11A43241" w:rsidR="007A2880" w:rsidRDefault="007A2880"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As discussed above, CPS </w:t>
      </w:r>
      <w:r w:rsidR="005F65A0">
        <w:rPr>
          <w:rFonts w:cs="Times New Roman"/>
          <w:szCs w:val="24"/>
        </w:rPr>
        <w:t xml:space="preserve">Energy </w:t>
      </w:r>
      <w:r>
        <w:rPr>
          <w:rFonts w:cs="Times New Roman"/>
          <w:szCs w:val="24"/>
        </w:rPr>
        <w:t>failed to account for any parks and recreation areas within 1,000 feet of any segment of the transmission line.</w:t>
      </w:r>
      <w:r w:rsidR="00705D50">
        <w:rPr>
          <w:rFonts w:cs="Times New Roman"/>
          <w:szCs w:val="24"/>
        </w:rPr>
        <w:t xml:space="preserve">  Two homeowners’ associations – Anaqua Springs HOA and High Country Ranch both produced uncontroverted evidence that some of the proposed segments cross their parks and recreation areas.</w:t>
      </w:r>
      <w:r w:rsidR="006F02A8">
        <w:rPr>
          <w:rStyle w:val="FootnoteReference"/>
          <w:rFonts w:cs="Times New Roman"/>
          <w:sz w:val="24"/>
          <w:szCs w:val="24"/>
        </w:rPr>
        <w:footnoteReference w:id="37"/>
      </w:r>
      <w:r w:rsidR="00705D50">
        <w:rPr>
          <w:rFonts w:cs="Times New Roman"/>
          <w:szCs w:val="24"/>
        </w:rPr>
        <w:t xml:space="preserve"> </w:t>
      </w:r>
      <w:r w:rsidR="0021674E">
        <w:rPr>
          <w:rFonts w:cs="Times New Roman"/>
          <w:szCs w:val="24"/>
        </w:rPr>
        <w:t xml:space="preserve"> </w:t>
      </w:r>
      <w:r w:rsidR="00A64ABE">
        <w:rPr>
          <w:rFonts w:cs="Times New Roman"/>
          <w:szCs w:val="24"/>
        </w:rPr>
        <w:t>Therefore, there are routes that cross those areas, despite CPS</w:t>
      </w:r>
      <w:r w:rsidR="005F65A0">
        <w:rPr>
          <w:rFonts w:cs="Times New Roman"/>
          <w:szCs w:val="24"/>
        </w:rPr>
        <w:t xml:space="preserve"> Energy</w:t>
      </w:r>
      <w:r w:rsidR="00A64ABE">
        <w:rPr>
          <w:rFonts w:cs="Times New Roman"/>
          <w:szCs w:val="24"/>
        </w:rPr>
        <w:t>’s failure to count them, and they should be included in the evaluation of the routing criteria.</w:t>
      </w:r>
    </w:p>
    <w:p w14:paraId="1BDE5E0F" w14:textId="0DF47EA3" w:rsidR="00416BD7" w:rsidRPr="00E227D2" w:rsidRDefault="00416BD7" w:rsidP="00BE3521">
      <w:pPr>
        <w:pStyle w:val="CROutline2"/>
      </w:pPr>
      <w:bookmarkStart w:id="20" w:name="_Toc72496213"/>
      <w:r w:rsidRPr="00E227D2">
        <w:lastRenderedPageBreak/>
        <w:t>Routing Criteria under 16 TAC § 25.101(b)(3)(B)</w:t>
      </w:r>
      <w:bookmarkEnd w:id="20"/>
    </w:p>
    <w:p w14:paraId="3CCB1687" w14:textId="7CAA461E" w:rsidR="00416BD7" w:rsidRPr="00E227D2" w:rsidRDefault="00416BD7" w:rsidP="00BE3521">
      <w:pPr>
        <w:pStyle w:val="CROutline3"/>
      </w:pPr>
      <w:bookmarkStart w:id="21" w:name="_Toc72496214"/>
      <w:r w:rsidRPr="00E227D2">
        <w:t>Engineering Constraints</w:t>
      </w:r>
      <w:bookmarkEnd w:id="21"/>
    </w:p>
    <w:p w14:paraId="0DDD6B38" w14:textId="6328A919" w:rsidR="00436F57" w:rsidRDefault="00436F57"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4916A7">
        <w:rPr>
          <w:rFonts w:cs="Times New Roman"/>
          <w:szCs w:val="24"/>
        </w:rPr>
        <w:t xml:space="preserve">Anaqua Springs HOA adopts and incorporates by reference the arguments provided in briefing by </w:t>
      </w:r>
      <w:r w:rsidR="00F27DBE">
        <w:rPr>
          <w:rFonts w:cs="Times New Roman"/>
          <w:szCs w:val="24"/>
        </w:rPr>
        <w:t>Jauer</w:t>
      </w:r>
      <w:r w:rsidR="004916A7">
        <w:rPr>
          <w:rFonts w:cs="Times New Roman"/>
          <w:szCs w:val="24"/>
        </w:rPr>
        <w:t>.</w:t>
      </w:r>
    </w:p>
    <w:p w14:paraId="562C11E8" w14:textId="3EEBB812" w:rsidR="00416BD7" w:rsidRDefault="00416BD7" w:rsidP="00BE3521">
      <w:pPr>
        <w:pStyle w:val="CROutline3"/>
      </w:pPr>
      <w:bookmarkStart w:id="22" w:name="_Toc72496215"/>
      <w:r w:rsidRPr="0001451F">
        <w:t>Cost</w:t>
      </w:r>
      <w:bookmarkEnd w:id="22"/>
    </w:p>
    <w:p w14:paraId="6E8A74E4" w14:textId="29EC1AD8" w:rsidR="007C5A37" w:rsidRDefault="00A523DF" w:rsidP="00285E80">
      <w:pPr>
        <w:tabs>
          <w:tab w:val="left" w:pos="720"/>
          <w:tab w:val="left" w:pos="1080"/>
          <w:tab w:val="left" w:pos="1440"/>
        </w:tabs>
        <w:spacing w:after="0" w:line="480" w:lineRule="auto"/>
        <w:jc w:val="both"/>
        <w:rPr>
          <w:rFonts w:cs="Times New Roman"/>
          <w:szCs w:val="24"/>
        </w:rPr>
      </w:pPr>
      <w:r>
        <w:rPr>
          <w:rFonts w:cs="Times New Roman"/>
          <w:b/>
          <w:bCs/>
          <w:szCs w:val="24"/>
        </w:rPr>
        <w:tab/>
      </w:r>
      <w:r>
        <w:rPr>
          <w:rFonts w:cs="Times New Roman"/>
          <w:szCs w:val="24"/>
        </w:rPr>
        <w:t xml:space="preserve">In addition to cost arguments made by </w:t>
      </w:r>
      <w:r w:rsidR="00F27DBE">
        <w:rPr>
          <w:rFonts w:cs="Times New Roman"/>
          <w:szCs w:val="24"/>
        </w:rPr>
        <w:t>Jauer</w:t>
      </w:r>
      <w:r>
        <w:rPr>
          <w:rFonts w:cs="Times New Roman"/>
          <w:szCs w:val="24"/>
        </w:rPr>
        <w:t xml:space="preserve"> in his initial brief, which are adopted here by reference, Anaqua Springs</w:t>
      </w:r>
      <w:r w:rsidR="00EF521A">
        <w:rPr>
          <w:rFonts w:cs="Times New Roman"/>
          <w:szCs w:val="24"/>
        </w:rPr>
        <w:t xml:space="preserve"> HOA</w:t>
      </w:r>
      <w:r>
        <w:rPr>
          <w:rFonts w:cs="Times New Roman"/>
          <w:szCs w:val="24"/>
        </w:rPr>
        <w:t xml:space="preserve"> makes the following arguments</w:t>
      </w:r>
      <w:r w:rsidR="007C5A37">
        <w:rPr>
          <w:rFonts w:cs="Times New Roman"/>
          <w:szCs w:val="24"/>
        </w:rPr>
        <w:t>.</w:t>
      </w:r>
    </w:p>
    <w:p w14:paraId="67538C53" w14:textId="61CEA67C" w:rsidR="00823C23" w:rsidRDefault="00BF47AA" w:rsidP="00285E80">
      <w:pPr>
        <w:tabs>
          <w:tab w:val="left" w:pos="720"/>
          <w:tab w:val="left" w:pos="1080"/>
          <w:tab w:val="left" w:pos="1440"/>
        </w:tabs>
        <w:spacing w:after="0" w:line="480" w:lineRule="auto"/>
        <w:jc w:val="both"/>
        <w:rPr>
          <w:rFonts w:cs="Times New Roman"/>
          <w:szCs w:val="24"/>
        </w:rPr>
      </w:pPr>
      <w:r>
        <w:rPr>
          <w:rFonts w:cs="Times New Roman"/>
          <w:szCs w:val="24"/>
        </w:rPr>
        <w:tab/>
        <w:t>As discussed above, Mr. Dreiss had begun to develop the property known as Pecan Springs when CPS</w:t>
      </w:r>
      <w:r w:rsidR="005F65A0">
        <w:rPr>
          <w:rFonts w:cs="Times New Roman"/>
          <w:szCs w:val="24"/>
        </w:rPr>
        <w:t xml:space="preserve"> Energy</w:t>
      </w:r>
      <w:r>
        <w:rPr>
          <w:rFonts w:cs="Times New Roman"/>
          <w:szCs w:val="24"/>
        </w:rPr>
        <w:t xml:space="preserve"> sent him notice about its proposed transmission line.  He was concerned that the proposed routing would be disastrous for his business.</w:t>
      </w:r>
      <w:r w:rsidR="0090302B">
        <w:rPr>
          <w:rStyle w:val="FootnoteReference"/>
          <w:rFonts w:cs="Times New Roman"/>
          <w:sz w:val="24"/>
          <w:szCs w:val="24"/>
        </w:rPr>
        <w:footnoteReference w:id="38"/>
      </w:r>
      <w:r>
        <w:rPr>
          <w:rFonts w:cs="Times New Roman"/>
          <w:szCs w:val="24"/>
        </w:rPr>
        <w:t xml:space="preserve">  </w:t>
      </w:r>
      <w:r w:rsidR="00FA173B">
        <w:rPr>
          <w:rFonts w:cs="Times New Roman"/>
          <w:szCs w:val="24"/>
        </w:rPr>
        <w:t xml:space="preserve">To protect his investment and the infrastructure he had already built, he first purchased property and donated an easement to CPS </w:t>
      </w:r>
      <w:r w:rsidR="005F65A0">
        <w:rPr>
          <w:rFonts w:cs="Times New Roman"/>
          <w:szCs w:val="24"/>
        </w:rPr>
        <w:t xml:space="preserve">Energy </w:t>
      </w:r>
      <w:r w:rsidR="00FA173B">
        <w:rPr>
          <w:rFonts w:cs="Times New Roman"/>
          <w:szCs w:val="24"/>
        </w:rPr>
        <w:t>along part of what became Segment 42a.</w:t>
      </w:r>
      <w:r w:rsidR="0090302B">
        <w:rPr>
          <w:rStyle w:val="FootnoteReference"/>
          <w:rFonts w:cs="Times New Roman"/>
          <w:sz w:val="24"/>
          <w:szCs w:val="24"/>
        </w:rPr>
        <w:footnoteReference w:id="39"/>
      </w:r>
      <w:r w:rsidR="00FA173B">
        <w:rPr>
          <w:rFonts w:cs="Times New Roman"/>
          <w:szCs w:val="24"/>
        </w:rPr>
        <w:t xml:space="preserve">  </w:t>
      </w:r>
      <w:r w:rsidR="002E6002">
        <w:rPr>
          <w:rFonts w:cs="Times New Roman"/>
          <w:szCs w:val="24"/>
        </w:rPr>
        <w:t xml:space="preserve">However, Segment </w:t>
      </w:r>
      <w:r w:rsidR="005F4019">
        <w:rPr>
          <w:rFonts w:cs="Times New Roman"/>
          <w:szCs w:val="24"/>
        </w:rPr>
        <w:t>49</w:t>
      </w:r>
      <w:r w:rsidR="00B63743">
        <w:rPr>
          <w:rFonts w:cs="Times New Roman"/>
          <w:szCs w:val="24"/>
        </w:rPr>
        <w:t xml:space="preserve"> still </w:t>
      </w:r>
      <w:r w:rsidR="002E6002">
        <w:rPr>
          <w:rFonts w:cs="Times New Roman"/>
          <w:szCs w:val="24"/>
        </w:rPr>
        <w:t xml:space="preserve">ran through his development while Segment 46 ran along the northern boundary.  He then negotiated with CPS </w:t>
      </w:r>
      <w:r w:rsidR="005F65A0">
        <w:rPr>
          <w:rFonts w:cs="Times New Roman"/>
          <w:szCs w:val="24"/>
        </w:rPr>
        <w:t xml:space="preserve">Energy </w:t>
      </w:r>
      <w:r w:rsidR="002E6002">
        <w:rPr>
          <w:rFonts w:cs="Times New Roman"/>
          <w:szCs w:val="24"/>
        </w:rPr>
        <w:t xml:space="preserve">to eliminate </w:t>
      </w:r>
      <w:r w:rsidR="00AB14D6">
        <w:rPr>
          <w:rFonts w:cs="Times New Roman"/>
          <w:szCs w:val="24"/>
        </w:rPr>
        <w:t xml:space="preserve">most of </w:t>
      </w:r>
      <w:r w:rsidR="002E6002">
        <w:rPr>
          <w:rFonts w:cs="Times New Roman"/>
          <w:szCs w:val="24"/>
        </w:rPr>
        <w:t xml:space="preserve">Segment </w:t>
      </w:r>
      <w:r w:rsidR="00773254">
        <w:rPr>
          <w:rFonts w:cs="Times New Roman"/>
          <w:szCs w:val="24"/>
        </w:rPr>
        <w:t>49 on his property</w:t>
      </w:r>
      <w:r w:rsidR="002E6002">
        <w:rPr>
          <w:rFonts w:cs="Times New Roman"/>
          <w:szCs w:val="24"/>
        </w:rPr>
        <w:t xml:space="preserve"> and leave Segment 46, with one option to route </w:t>
      </w:r>
      <w:r w:rsidR="00823C23">
        <w:rPr>
          <w:rFonts w:cs="Times New Roman"/>
          <w:szCs w:val="24"/>
        </w:rPr>
        <w:t>Segment</w:t>
      </w:r>
      <w:r w:rsidR="002E6002">
        <w:rPr>
          <w:rFonts w:cs="Times New Roman"/>
          <w:szCs w:val="24"/>
        </w:rPr>
        <w:t xml:space="preserve"> 46a away from a home.</w:t>
      </w:r>
      <w:r w:rsidR="009D6628">
        <w:rPr>
          <w:rStyle w:val="FootnoteReference"/>
          <w:rFonts w:cs="Times New Roman"/>
          <w:sz w:val="24"/>
          <w:szCs w:val="24"/>
        </w:rPr>
        <w:footnoteReference w:id="40"/>
      </w:r>
      <w:r w:rsidR="000412C5">
        <w:rPr>
          <w:rFonts w:cs="Times New Roman"/>
          <w:szCs w:val="24"/>
        </w:rPr>
        <w:t xml:space="preserve"> </w:t>
      </w:r>
      <w:r w:rsidR="00823C23">
        <w:rPr>
          <w:rFonts w:cs="Times New Roman"/>
          <w:szCs w:val="24"/>
        </w:rPr>
        <w:t xml:space="preserve"> Mr. Dreiss’ agreement required him to give up a lot.  In many CCN cases it is not unusual for landowners to donate or discount easements in exchange for routing changes.  This agreement</w:t>
      </w:r>
      <w:r w:rsidR="00BC63CC">
        <w:rPr>
          <w:rFonts w:cs="Times New Roman"/>
          <w:szCs w:val="24"/>
        </w:rPr>
        <w:t>, however,</w:t>
      </w:r>
      <w:r w:rsidR="00823C23">
        <w:rPr>
          <w:rFonts w:cs="Times New Roman"/>
          <w:szCs w:val="24"/>
        </w:rPr>
        <w:t xml:space="preserve"> went much further.  Mr. Dreiss agreed:</w:t>
      </w:r>
    </w:p>
    <w:p w14:paraId="135BC0BC" w14:textId="7EE1B5DC" w:rsidR="00823C23" w:rsidRDefault="00823C23"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t>To donate part of the easement on Segment 42</w:t>
      </w:r>
      <w:r w:rsidR="00773254">
        <w:rPr>
          <w:rFonts w:cs="Times New Roman"/>
          <w:szCs w:val="24"/>
        </w:rPr>
        <w:t>a</w:t>
      </w:r>
      <w:r w:rsidR="001B3E24">
        <w:rPr>
          <w:rFonts w:cs="Times New Roman"/>
          <w:szCs w:val="24"/>
        </w:rPr>
        <w:t>;</w:t>
      </w:r>
    </w:p>
    <w:p w14:paraId="728B9BDA" w14:textId="4E6D489E" w:rsidR="00823C23" w:rsidRDefault="00823C23"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t xml:space="preserve">To discount the value of the easement on Segment 46 at the rate </w:t>
      </w:r>
      <w:r w:rsidR="0048607F">
        <w:rPr>
          <w:rFonts w:cs="Times New Roman"/>
          <w:szCs w:val="24"/>
        </w:rPr>
        <w:t xml:space="preserve">of </w:t>
      </w:r>
      <w:r w:rsidR="0048607F" w:rsidRPr="0048607F">
        <w:rPr>
          <w:rFonts w:cs="Times New Roman"/>
          <w:b/>
          <w:bCs/>
          <w:i/>
          <w:iCs/>
          <w:szCs w:val="24"/>
        </w:rPr>
        <w:t>the lower of</w:t>
      </w:r>
      <w:r>
        <w:rPr>
          <w:rFonts w:cs="Times New Roman"/>
          <w:szCs w:val="24"/>
        </w:rPr>
        <w:t xml:space="preserve"> 40 cents per square foot or </w:t>
      </w:r>
      <w:r w:rsidR="0048607F">
        <w:rPr>
          <w:rFonts w:cs="Times New Roman"/>
          <w:szCs w:val="24"/>
        </w:rPr>
        <w:t>the value subject to an appraiser (paragraph 8)</w:t>
      </w:r>
      <w:r w:rsidR="001B3E24">
        <w:rPr>
          <w:rFonts w:cs="Times New Roman"/>
          <w:szCs w:val="24"/>
        </w:rPr>
        <w:t>;</w:t>
      </w:r>
    </w:p>
    <w:p w14:paraId="62CEA477" w14:textId="17D4D02D" w:rsidR="00823C23" w:rsidRDefault="00823C23"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t>To give up any damages to the remainder</w:t>
      </w:r>
      <w:r w:rsidR="00BD59B4">
        <w:rPr>
          <w:rFonts w:cs="Times New Roman"/>
          <w:szCs w:val="24"/>
        </w:rPr>
        <w:t xml:space="preserve"> (paragraph 8)</w:t>
      </w:r>
      <w:r w:rsidR="001B3E24">
        <w:rPr>
          <w:rFonts w:cs="Times New Roman"/>
          <w:szCs w:val="24"/>
        </w:rPr>
        <w:t>;</w:t>
      </w:r>
    </w:p>
    <w:p w14:paraId="776AF84D" w14:textId="5A42FA41" w:rsidR="00823C23" w:rsidRDefault="00823C23"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lastRenderedPageBreak/>
        <w:t>To not pursue a condemnation case</w:t>
      </w:r>
      <w:r w:rsidR="00BD59B4">
        <w:rPr>
          <w:rFonts w:cs="Times New Roman"/>
          <w:szCs w:val="24"/>
        </w:rPr>
        <w:t xml:space="preserve"> (paragraph 8)</w:t>
      </w:r>
      <w:r w:rsidR="001B3E24">
        <w:rPr>
          <w:rFonts w:cs="Times New Roman"/>
          <w:szCs w:val="24"/>
        </w:rPr>
        <w:t>;</w:t>
      </w:r>
    </w:p>
    <w:p w14:paraId="1204E61E" w14:textId="62CD33CB" w:rsidR="007A01A5" w:rsidRDefault="007A01A5"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t>To support the routing across his property starting at the node at Segment 42a and 41</w:t>
      </w:r>
      <w:r w:rsidR="005635B4">
        <w:rPr>
          <w:rFonts w:cs="Times New Roman"/>
          <w:szCs w:val="24"/>
        </w:rPr>
        <w:t xml:space="preserve"> (paragraph 5)</w:t>
      </w:r>
      <w:r w:rsidR="001B3E24">
        <w:rPr>
          <w:rFonts w:cs="Times New Roman"/>
          <w:szCs w:val="24"/>
        </w:rPr>
        <w:t>; and</w:t>
      </w:r>
    </w:p>
    <w:p w14:paraId="694184D1" w14:textId="0650377C" w:rsidR="00E006B6" w:rsidRPr="00823C23" w:rsidRDefault="00E006B6" w:rsidP="00823C23">
      <w:pPr>
        <w:pStyle w:val="ListParagraph"/>
        <w:numPr>
          <w:ilvl w:val="0"/>
          <w:numId w:val="14"/>
        </w:numPr>
        <w:tabs>
          <w:tab w:val="left" w:pos="360"/>
          <w:tab w:val="left" w:pos="720"/>
          <w:tab w:val="left" w:pos="1080"/>
          <w:tab w:val="left" w:pos="1440"/>
        </w:tabs>
        <w:spacing w:after="0" w:line="480" w:lineRule="auto"/>
        <w:jc w:val="both"/>
        <w:rPr>
          <w:rFonts w:cs="Times New Roman"/>
          <w:szCs w:val="24"/>
        </w:rPr>
      </w:pPr>
      <w:r>
        <w:rPr>
          <w:rFonts w:cs="Times New Roman"/>
          <w:szCs w:val="24"/>
        </w:rPr>
        <w:t>To donate yet additional right-of-way to offset any net cost increase and maintain existing cost differentials (paragraphs 6 and 7)</w:t>
      </w:r>
      <w:r w:rsidR="001B3E24">
        <w:rPr>
          <w:rFonts w:cs="Times New Roman"/>
          <w:szCs w:val="24"/>
        </w:rPr>
        <w:t>.</w:t>
      </w:r>
      <w:r w:rsidR="00225747">
        <w:rPr>
          <w:rStyle w:val="FootnoteReference"/>
          <w:rFonts w:cs="Times New Roman"/>
          <w:sz w:val="24"/>
          <w:szCs w:val="24"/>
        </w:rPr>
        <w:footnoteReference w:id="41"/>
      </w:r>
    </w:p>
    <w:p w14:paraId="7E3131D8" w14:textId="4FD5D0F7" w:rsidR="004A034D" w:rsidRPr="00A523DF" w:rsidRDefault="00914E8B"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67043C">
        <w:rPr>
          <w:rFonts w:cs="Times New Roman"/>
          <w:szCs w:val="24"/>
        </w:rPr>
        <w:t xml:space="preserve">At the hearing on the merits, Mr. Dreiss clarified that he did not want the line on his property and that it would be better for his business interests if the line </w:t>
      </w:r>
      <w:r w:rsidR="00EB3CA7">
        <w:rPr>
          <w:rFonts w:cs="Times New Roman"/>
          <w:szCs w:val="24"/>
        </w:rPr>
        <w:t>did not run on his land.</w:t>
      </w:r>
      <w:r w:rsidR="00EE67F1">
        <w:rPr>
          <w:rStyle w:val="FootnoteReference"/>
          <w:rFonts w:cs="Times New Roman"/>
          <w:sz w:val="24"/>
          <w:szCs w:val="24"/>
        </w:rPr>
        <w:footnoteReference w:id="42"/>
      </w:r>
      <w:r w:rsidR="009802FB">
        <w:rPr>
          <w:rFonts w:cs="Times New Roman"/>
          <w:szCs w:val="24"/>
        </w:rPr>
        <w:t xml:space="preserve">  As discussed above, developed or developing land costs more than raw land.  So, CPS </w:t>
      </w:r>
      <w:r w:rsidR="005F65A0">
        <w:rPr>
          <w:rFonts w:cs="Times New Roman"/>
          <w:szCs w:val="24"/>
        </w:rPr>
        <w:t xml:space="preserve">Energy </w:t>
      </w:r>
      <w:r w:rsidR="009802FB">
        <w:rPr>
          <w:rFonts w:cs="Times New Roman"/>
          <w:szCs w:val="24"/>
        </w:rPr>
        <w:t xml:space="preserve">was able to manipulate the cost of the Toutant Routes by keeping the value of the right-of-way across Mr. Dreiss’ property at 50 cents per square foot, but locking in an even lower price under their contract of </w:t>
      </w:r>
      <w:r w:rsidR="00137E66">
        <w:rPr>
          <w:rFonts w:cs="Times New Roman"/>
          <w:szCs w:val="24"/>
        </w:rPr>
        <w:t>40 cents</w:t>
      </w:r>
      <w:r w:rsidR="009802FB">
        <w:rPr>
          <w:rFonts w:cs="Times New Roman"/>
          <w:szCs w:val="24"/>
        </w:rPr>
        <w:t xml:space="preserve"> per square foot.  </w:t>
      </w:r>
      <w:r w:rsidR="00137E66">
        <w:rPr>
          <w:rFonts w:cs="Times New Roman"/>
          <w:szCs w:val="24"/>
        </w:rPr>
        <w:t xml:space="preserve">Yet, the value of those lots, according to Mr. Dreiss, is </w:t>
      </w:r>
      <w:r w:rsidR="00C22F0C">
        <w:rPr>
          <w:rFonts w:cs="Times New Roman"/>
          <w:szCs w:val="24"/>
        </w:rPr>
        <w:t>significantly higher</w:t>
      </w:r>
      <w:r w:rsidR="00137E66">
        <w:rPr>
          <w:rFonts w:cs="Times New Roman"/>
          <w:szCs w:val="24"/>
        </w:rPr>
        <w:t>.</w:t>
      </w:r>
      <w:r w:rsidR="00146AE8">
        <w:rPr>
          <w:rStyle w:val="FootnoteReference"/>
          <w:rFonts w:cs="Times New Roman"/>
          <w:sz w:val="24"/>
          <w:szCs w:val="24"/>
        </w:rPr>
        <w:footnoteReference w:id="43"/>
      </w:r>
      <w:r w:rsidR="00EE2EEC">
        <w:rPr>
          <w:rFonts w:cs="Times New Roman"/>
          <w:szCs w:val="24"/>
        </w:rPr>
        <w:t xml:space="preserve"> </w:t>
      </w:r>
      <w:r w:rsidR="00785BF4">
        <w:rPr>
          <w:rFonts w:cs="Times New Roman"/>
          <w:szCs w:val="24"/>
        </w:rPr>
        <w:t xml:space="preserve">Thus, through this agreement CPS </w:t>
      </w:r>
      <w:r w:rsidR="005F65A0">
        <w:rPr>
          <w:rFonts w:cs="Times New Roman"/>
          <w:szCs w:val="24"/>
        </w:rPr>
        <w:t xml:space="preserve">Energy </w:t>
      </w:r>
      <w:r w:rsidR="00785BF4">
        <w:rPr>
          <w:rFonts w:cs="Times New Roman"/>
          <w:szCs w:val="24"/>
        </w:rPr>
        <w:t xml:space="preserve">was able to </w:t>
      </w:r>
      <w:r w:rsidR="00CA053D">
        <w:rPr>
          <w:rFonts w:cs="Times New Roman"/>
          <w:szCs w:val="24"/>
        </w:rPr>
        <w:t>leverage Mr. Dreiss to hold</w:t>
      </w:r>
      <w:r w:rsidR="00CC4194">
        <w:rPr>
          <w:rFonts w:cs="Times New Roman"/>
          <w:szCs w:val="24"/>
        </w:rPr>
        <w:t xml:space="preserve"> the cost </w:t>
      </w:r>
      <w:r w:rsidR="00CA053D">
        <w:rPr>
          <w:rFonts w:cs="Times New Roman"/>
          <w:szCs w:val="24"/>
        </w:rPr>
        <w:t>of the right</w:t>
      </w:r>
      <w:r w:rsidR="00EF521A">
        <w:rPr>
          <w:rFonts w:cs="Times New Roman"/>
          <w:szCs w:val="24"/>
        </w:rPr>
        <w:t>-</w:t>
      </w:r>
      <w:r w:rsidR="00CA053D">
        <w:rPr>
          <w:rFonts w:cs="Times New Roman"/>
          <w:szCs w:val="24"/>
        </w:rPr>
        <w:t>of</w:t>
      </w:r>
      <w:r w:rsidR="00EF521A">
        <w:rPr>
          <w:rFonts w:cs="Times New Roman"/>
          <w:szCs w:val="24"/>
        </w:rPr>
        <w:t>-</w:t>
      </w:r>
      <w:r w:rsidR="00CA053D">
        <w:rPr>
          <w:rFonts w:cs="Times New Roman"/>
          <w:szCs w:val="24"/>
        </w:rPr>
        <w:t>way at an artificially low price, making CPS</w:t>
      </w:r>
      <w:r w:rsidR="005F65A0" w:rsidRPr="005F65A0">
        <w:rPr>
          <w:rFonts w:cs="Times New Roman"/>
          <w:szCs w:val="24"/>
        </w:rPr>
        <w:t xml:space="preserve"> </w:t>
      </w:r>
      <w:r w:rsidR="005F65A0">
        <w:rPr>
          <w:rFonts w:cs="Times New Roman"/>
          <w:szCs w:val="24"/>
        </w:rPr>
        <w:t>Energy</w:t>
      </w:r>
      <w:r w:rsidR="00CA053D">
        <w:rPr>
          <w:rFonts w:cs="Times New Roman"/>
          <w:szCs w:val="24"/>
        </w:rPr>
        <w:t>’s best meets route one of the lowest cost route</w:t>
      </w:r>
      <w:r w:rsidR="00583171">
        <w:rPr>
          <w:rFonts w:cs="Times New Roman"/>
          <w:szCs w:val="24"/>
        </w:rPr>
        <w:t>s</w:t>
      </w:r>
      <w:r w:rsidR="00EE2EEC">
        <w:rPr>
          <w:rFonts w:cs="Times New Roman"/>
          <w:szCs w:val="24"/>
        </w:rPr>
        <w:t>, and, at the same time, reducing the routing diversity in this case by eliminating the majority of Segment 49.</w:t>
      </w:r>
    </w:p>
    <w:p w14:paraId="73B7DB74" w14:textId="4B10B77E" w:rsidR="00416BD7" w:rsidRPr="004C4306" w:rsidRDefault="00416BD7" w:rsidP="00BE3521">
      <w:pPr>
        <w:pStyle w:val="CROutline3"/>
      </w:pPr>
      <w:bookmarkStart w:id="23" w:name="_Toc72496216"/>
      <w:r w:rsidRPr="004C4306">
        <w:t>Moderation of Impact on Affected Community and Landowners</w:t>
      </w:r>
      <w:bookmarkEnd w:id="23"/>
    </w:p>
    <w:p w14:paraId="7366FC19" w14:textId="58BE7F7A" w:rsidR="00E83D89" w:rsidRDefault="00E83D89"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In addition to the arguments presented in Jauer’s initial brief, Anaqua Springs </w:t>
      </w:r>
      <w:r w:rsidR="00EF521A">
        <w:rPr>
          <w:rFonts w:cs="Times New Roman"/>
          <w:szCs w:val="24"/>
        </w:rPr>
        <w:t xml:space="preserve">HOA </w:t>
      </w:r>
      <w:r>
        <w:rPr>
          <w:rFonts w:cs="Times New Roman"/>
          <w:szCs w:val="24"/>
        </w:rPr>
        <w:t xml:space="preserve">would assert that CPS </w:t>
      </w:r>
      <w:r w:rsidR="005F65A0">
        <w:rPr>
          <w:rFonts w:cs="Times New Roman"/>
          <w:szCs w:val="24"/>
        </w:rPr>
        <w:t xml:space="preserve">Energy </w:t>
      </w:r>
      <w:r>
        <w:rPr>
          <w:rFonts w:cs="Times New Roman"/>
          <w:szCs w:val="24"/>
        </w:rPr>
        <w:t>has not done what it can at a reasonable cost to moderate the impact of the routing on the residents of Anaqua Springs</w:t>
      </w:r>
      <w:r w:rsidR="004C4306">
        <w:rPr>
          <w:rFonts w:cs="Times New Roman"/>
          <w:szCs w:val="24"/>
        </w:rPr>
        <w:t xml:space="preserve"> and on the community</w:t>
      </w:r>
      <w:r w:rsidR="00EF521A">
        <w:rPr>
          <w:rFonts w:cs="Times New Roman"/>
          <w:szCs w:val="24"/>
        </w:rPr>
        <w:t xml:space="preserve"> as a whole</w:t>
      </w:r>
      <w:r w:rsidR="004C4306">
        <w:rPr>
          <w:rFonts w:cs="Times New Roman"/>
          <w:szCs w:val="24"/>
        </w:rPr>
        <w:t>.</w:t>
      </w:r>
      <w:r w:rsidR="00070102">
        <w:rPr>
          <w:rFonts w:cs="Times New Roman"/>
          <w:szCs w:val="24"/>
        </w:rPr>
        <w:t xml:space="preserve">  As mentioned above, CPS </w:t>
      </w:r>
      <w:r w:rsidR="005F65A0">
        <w:rPr>
          <w:rFonts w:cs="Times New Roman"/>
          <w:szCs w:val="24"/>
        </w:rPr>
        <w:t xml:space="preserve">Energy </w:t>
      </w:r>
      <w:r w:rsidR="00070102">
        <w:rPr>
          <w:rFonts w:cs="Times New Roman"/>
          <w:szCs w:val="24"/>
        </w:rPr>
        <w:t>failed to account for numerous habitable structures.  That miscount impacts homeowners in Anaqua Springs.</w:t>
      </w:r>
    </w:p>
    <w:p w14:paraId="3EA0EB81" w14:textId="2B5EE59F" w:rsidR="00DE02BD" w:rsidRDefault="00DE02BD" w:rsidP="00BE3521">
      <w:pPr>
        <w:pStyle w:val="CROutline4"/>
      </w:pPr>
      <w:bookmarkStart w:id="24" w:name="_Toc72496217"/>
      <w:r w:rsidRPr="00070102">
        <w:lastRenderedPageBreak/>
        <w:t>Anaqua Springs Guardhouse</w:t>
      </w:r>
      <w:bookmarkEnd w:id="24"/>
    </w:p>
    <w:p w14:paraId="3731B836" w14:textId="3CABC06B" w:rsidR="003E7E1A" w:rsidRDefault="003E7E1A"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CPS </w:t>
      </w:r>
      <w:r w:rsidR="005F65A0">
        <w:rPr>
          <w:rFonts w:cs="Times New Roman"/>
          <w:szCs w:val="24"/>
        </w:rPr>
        <w:t xml:space="preserve">Energy </w:t>
      </w:r>
      <w:r>
        <w:rPr>
          <w:rFonts w:cs="Times New Roman"/>
          <w:szCs w:val="24"/>
        </w:rPr>
        <w:t xml:space="preserve">failed to count the guardhouse at the front of Anaqua Springs as a habitable </w:t>
      </w:r>
      <w:r w:rsidR="00531070">
        <w:rPr>
          <w:rFonts w:cs="Times New Roman"/>
          <w:szCs w:val="24"/>
        </w:rPr>
        <w:t>structure</w:t>
      </w:r>
      <w:r>
        <w:rPr>
          <w:rFonts w:cs="Times New Roman"/>
          <w:szCs w:val="24"/>
        </w:rPr>
        <w:t>.</w:t>
      </w:r>
      <w:r w:rsidR="00EF521A">
        <w:rPr>
          <w:rStyle w:val="FootnoteReference"/>
          <w:rFonts w:cs="Times New Roman"/>
          <w:szCs w:val="24"/>
        </w:rPr>
        <w:footnoteReference w:id="44"/>
      </w:r>
      <w:r>
        <w:rPr>
          <w:rFonts w:cs="Times New Roman"/>
          <w:szCs w:val="24"/>
        </w:rPr>
        <w:t xml:space="preserve">  The guardhouse was not listed as a habitable structure in CPS</w:t>
      </w:r>
      <w:r w:rsidR="005F65A0">
        <w:rPr>
          <w:rFonts w:cs="Times New Roman"/>
          <w:szCs w:val="24"/>
        </w:rPr>
        <w:t xml:space="preserve"> Energy</w:t>
      </w:r>
      <w:r>
        <w:rPr>
          <w:rFonts w:cs="Times New Roman"/>
          <w:szCs w:val="24"/>
        </w:rPr>
        <w:t xml:space="preserve">’s original application, and it was added as a result of Anaqua Springs informing CPS </w:t>
      </w:r>
      <w:r w:rsidR="005F65A0">
        <w:rPr>
          <w:rFonts w:cs="Times New Roman"/>
          <w:szCs w:val="24"/>
        </w:rPr>
        <w:t xml:space="preserve">Energy </w:t>
      </w:r>
      <w:r>
        <w:rPr>
          <w:rFonts w:cs="Times New Roman"/>
          <w:szCs w:val="24"/>
        </w:rPr>
        <w:t>that the guardhouse should be counted.  Thus, when CPS</w:t>
      </w:r>
      <w:r w:rsidR="005F65A0">
        <w:rPr>
          <w:rFonts w:cs="Times New Roman"/>
          <w:szCs w:val="24"/>
        </w:rPr>
        <w:t xml:space="preserve"> Energy</w:t>
      </w:r>
      <w:r>
        <w:rPr>
          <w:rFonts w:cs="Times New Roman"/>
          <w:szCs w:val="24"/>
        </w:rPr>
        <w:t xml:space="preserve"> routed Segment 36 on the south side of Toutant, it </w:t>
      </w:r>
      <w:r w:rsidR="001808E6">
        <w:rPr>
          <w:rFonts w:cs="Times New Roman"/>
          <w:szCs w:val="24"/>
        </w:rPr>
        <w:t xml:space="preserve">mistakenly </w:t>
      </w:r>
      <w:r>
        <w:rPr>
          <w:rFonts w:cs="Times New Roman"/>
          <w:szCs w:val="24"/>
        </w:rPr>
        <w:t>believed that there were no habitable structures on the south side.</w:t>
      </w:r>
      <w:r w:rsidR="001B3E24">
        <w:rPr>
          <w:rFonts w:cs="Times New Roman"/>
          <w:szCs w:val="24"/>
        </w:rPr>
        <w:t xml:space="preserve"> </w:t>
      </w:r>
      <w:r>
        <w:rPr>
          <w:rFonts w:cs="Times New Roman"/>
          <w:szCs w:val="24"/>
        </w:rPr>
        <w:t xml:space="preserve"> To the contrary, there is one</w:t>
      </w:r>
      <w:r w:rsidR="009567B5">
        <w:rPr>
          <w:rFonts w:cs="Times New Roman"/>
          <w:szCs w:val="24"/>
        </w:rPr>
        <w:t xml:space="preserve"> with people in it 24 hours every day</w:t>
      </w:r>
      <w:r>
        <w:rPr>
          <w:rFonts w:cs="Times New Roman"/>
          <w:szCs w:val="24"/>
        </w:rPr>
        <w:t xml:space="preserve">, while there are none on the north side.  CPS </w:t>
      </w:r>
      <w:r w:rsidR="005F65A0">
        <w:rPr>
          <w:rFonts w:cs="Times New Roman"/>
          <w:szCs w:val="24"/>
        </w:rPr>
        <w:t xml:space="preserve">Energy </w:t>
      </w:r>
      <w:r>
        <w:rPr>
          <w:rFonts w:cs="Times New Roman"/>
          <w:szCs w:val="24"/>
        </w:rPr>
        <w:t xml:space="preserve">has argued that it crossed the road to avoid the </w:t>
      </w:r>
      <w:r w:rsidR="004209FC">
        <w:rPr>
          <w:rFonts w:cs="Times New Roman"/>
          <w:szCs w:val="24"/>
        </w:rPr>
        <w:t xml:space="preserve">Heidemann Ranch </w:t>
      </w:r>
      <w:r>
        <w:rPr>
          <w:rFonts w:cs="Times New Roman"/>
          <w:szCs w:val="24"/>
        </w:rPr>
        <w:t>historical site</w:t>
      </w:r>
      <w:r w:rsidR="004209FC">
        <w:rPr>
          <w:rFonts w:cs="Times New Roman"/>
          <w:szCs w:val="24"/>
        </w:rPr>
        <w:t xml:space="preserve"> farther to the north</w:t>
      </w:r>
      <w:r>
        <w:rPr>
          <w:rFonts w:cs="Times New Roman"/>
          <w:szCs w:val="24"/>
        </w:rPr>
        <w:t xml:space="preserve">, but it could have crossed the road closer to the historical site and avoided the </w:t>
      </w:r>
      <w:r w:rsidR="00AC7041">
        <w:rPr>
          <w:rFonts w:cs="Times New Roman"/>
          <w:szCs w:val="24"/>
        </w:rPr>
        <w:t>only</w:t>
      </w:r>
      <w:r>
        <w:rPr>
          <w:rFonts w:cs="Times New Roman"/>
          <w:szCs w:val="24"/>
        </w:rPr>
        <w:t xml:space="preserve"> habitable structure on the segment</w:t>
      </w:r>
      <w:r w:rsidR="00AC7041">
        <w:rPr>
          <w:rFonts w:cs="Times New Roman"/>
          <w:szCs w:val="24"/>
        </w:rPr>
        <w:t>, rather than running the line within 300 feet of it.</w:t>
      </w:r>
      <w:r w:rsidR="00DE7ECC">
        <w:rPr>
          <w:rFonts w:cs="Times New Roman"/>
          <w:szCs w:val="24"/>
        </w:rPr>
        <w:t xml:space="preserve">  CPS </w:t>
      </w:r>
      <w:r w:rsidR="005F65A0">
        <w:rPr>
          <w:rFonts w:cs="Times New Roman"/>
          <w:szCs w:val="24"/>
        </w:rPr>
        <w:t xml:space="preserve">Energy </w:t>
      </w:r>
      <w:r w:rsidR="00DE7ECC">
        <w:rPr>
          <w:rFonts w:cs="Times New Roman"/>
          <w:szCs w:val="24"/>
        </w:rPr>
        <w:t>again based its routing on inaccurate data.</w:t>
      </w:r>
    </w:p>
    <w:p w14:paraId="26086309" w14:textId="5003C4EA" w:rsidR="004A034D" w:rsidRPr="00AC798A" w:rsidRDefault="004A034D" w:rsidP="00BE3521">
      <w:pPr>
        <w:pStyle w:val="CROutline4"/>
      </w:pPr>
      <w:bookmarkStart w:id="25" w:name="_Toc72496218"/>
      <w:r w:rsidRPr="00AC798A">
        <w:t>Segments 38, 39, and 43</w:t>
      </w:r>
      <w:bookmarkEnd w:id="25"/>
    </w:p>
    <w:p w14:paraId="3A9ECB44" w14:textId="2401A902" w:rsidR="00081D50" w:rsidRDefault="004C4306"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C17F99">
        <w:rPr>
          <w:rFonts w:cs="Times New Roman"/>
          <w:szCs w:val="24"/>
        </w:rPr>
        <w:t xml:space="preserve">At the open house, Segments 38, 39, and 43 were shown paralleling the southern border of Anaqua Springs and would have been within 300 feet of numerous homes.  CPS </w:t>
      </w:r>
      <w:r w:rsidR="005F65A0">
        <w:rPr>
          <w:rFonts w:cs="Times New Roman"/>
          <w:szCs w:val="24"/>
        </w:rPr>
        <w:t xml:space="preserve">Energy </w:t>
      </w:r>
      <w:r w:rsidR="00C17F99">
        <w:rPr>
          <w:rFonts w:cs="Times New Roman"/>
          <w:szCs w:val="24"/>
        </w:rPr>
        <w:t>changed the routing of Segments 38 and 43 prior to filing the application.  (compare Figures 2-2 and 2-3 from the original Application as copied above).  Because CPS</w:t>
      </w:r>
      <w:r w:rsidR="005F65A0">
        <w:rPr>
          <w:rFonts w:cs="Times New Roman"/>
          <w:szCs w:val="24"/>
        </w:rPr>
        <w:t xml:space="preserve"> Energy</w:t>
      </w:r>
      <w:r w:rsidR="00C17F99">
        <w:rPr>
          <w:rFonts w:cs="Times New Roman"/>
          <w:szCs w:val="24"/>
        </w:rPr>
        <w:t xml:space="preserve"> did not count the Cichowski home or the Rosales’ home at the time they routed the lines, C</w:t>
      </w:r>
      <w:r w:rsidR="00BA42BA">
        <w:rPr>
          <w:rFonts w:cs="Times New Roman"/>
          <w:szCs w:val="24"/>
        </w:rPr>
        <w:t xml:space="preserve">PS </w:t>
      </w:r>
      <w:r w:rsidR="005F65A0">
        <w:rPr>
          <w:rFonts w:cs="Times New Roman"/>
          <w:szCs w:val="24"/>
        </w:rPr>
        <w:t xml:space="preserve">Energy </w:t>
      </w:r>
      <w:r w:rsidR="00C17F99">
        <w:rPr>
          <w:rFonts w:cs="Times New Roman"/>
          <w:szCs w:val="24"/>
        </w:rPr>
        <w:t xml:space="preserve">mistakenly </w:t>
      </w:r>
      <w:r w:rsidR="00BA42BA">
        <w:rPr>
          <w:rFonts w:cs="Times New Roman"/>
          <w:szCs w:val="24"/>
        </w:rPr>
        <w:t xml:space="preserve">believed that only one house </w:t>
      </w:r>
      <w:r w:rsidR="00853057">
        <w:rPr>
          <w:rFonts w:cs="Times New Roman"/>
          <w:szCs w:val="24"/>
        </w:rPr>
        <w:t xml:space="preserve">on the southern border of Anaqua </w:t>
      </w:r>
      <w:r w:rsidR="005970C1">
        <w:rPr>
          <w:rFonts w:cs="Times New Roman"/>
          <w:szCs w:val="24"/>
        </w:rPr>
        <w:t xml:space="preserve">Springs </w:t>
      </w:r>
      <w:r w:rsidR="00BA42BA">
        <w:rPr>
          <w:rFonts w:cs="Times New Roman"/>
          <w:szCs w:val="24"/>
        </w:rPr>
        <w:t xml:space="preserve">would be </w:t>
      </w:r>
      <w:r w:rsidR="00705741">
        <w:rPr>
          <w:rFonts w:cs="Times New Roman"/>
          <w:szCs w:val="24"/>
        </w:rPr>
        <w:t xml:space="preserve">within 300 feet of </w:t>
      </w:r>
      <w:r w:rsidR="00BA42BA">
        <w:rPr>
          <w:rFonts w:cs="Times New Roman"/>
          <w:szCs w:val="24"/>
        </w:rPr>
        <w:t xml:space="preserve">the </w:t>
      </w:r>
      <w:r w:rsidR="00853057">
        <w:rPr>
          <w:rFonts w:cs="Times New Roman"/>
          <w:szCs w:val="24"/>
        </w:rPr>
        <w:t>transmission line</w:t>
      </w:r>
      <w:r w:rsidR="00BA42BA">
        <w:rPr>
          <w:rFonts w:cs="Times New Roman"/>
          <w:szCs w:val="24"/>
        </w:rPr>
        <w:t>.</w:t>
      </w:r>
      <w:r w:rsidR="009D6628">
        <w:rPr>
          <w:rStyle w:val="FootnoteReference"/>
          <w:rFonts w:cs="Times New Roman"/>
          <w:sz w:val="24"/>
          <w:szCs w:val="24"/>
        </w:rPr>
        <w:footnoteReference w:id="45"/>
      </w:r>
      <w:r w:rsidR="00BA42BA">
        <w:rPr>
          <w:rFonts w:cs="Times New Roman"/>
          <w:szCs w:val="24"/>
        </w:rPr>
        <w:t xml:space="preserve"> </w:t>
      </w:r>
    </w:p>
    <w:p w14:paraId="694EA5DD" w14:textId="6EBD7263" w:rsidR="00B35F5B" w:rsidRDefault="00B35F5B" w:rsidP="00285E80">
      <w:pPr>
        <w:tabs>
          <w:tab w:val="left" w:pos="720"/>
          <w:tab w:val="left" w:pos="1080"/>
          <w:tab w:val="left" w:pos="1440"/>
        </w:tabs>
        <w:spacing w:after="0" w:line="480" w:lineRule="auto"/>
        <w:jc w:val="both"/>
        <w:rPr>
          <w:rFonts w:cs="Times New Roman"/>
          <w:szCs w:val="24"/>
        </w:rPr>
      </w:pPr>
      <w:r>
        <w:rPr>
          <w:rFonts w:cs="Times New Roman"/>
          <w:szCs w:val="24"/>
        </w:rPr>
        <w:lastRenderedPageBreak/>
        <w:tab/>
        <w:t>Ms. Meaux testified in rebuttal that “paralleling property lines does not outweigh all other factors the commission must consider in evaluating potential routes.”</w:t>
      </w:r>
      <w:r>
        <w:rPr>
          <w:rStyle w:val="FootnoteReference"/>
          <w:rFonts w:cs="Times New Roman"/>
          <w:sz w:val="24"/>
          <w:szCs w:val="24"/>
        </w:rPr>
        <w:footnoteReference w:id="46"/>
      </w:r>
      <w:r>
        <w:rPr>
          <w:rFonts w:cs="Times New Roman"/>
          <w:szCs w:val="24"/>
        </w:rPr>
        <w:t xml:space="preserve">  In that testimony, she noted that paralleling property lines must be balanced with other factors.  At the hearing on the merits, she indicated further that one of the factors that must be balanced is habitable structures.</w:t>
      </w:r>
      <w:r>
        <w:rPr>
          <w:rStyle w:val="FootnoteReference"/>
          <w:rFonts w:cs="Times New Roman"/>
          <w:sz w:val="24"/>
          <w:szCs w:val="24"/>
        </w:rPr>
        <w:footnoteReference w:id="47"/>
      </w:r>
      <w:r>
        <w:rPr>
          <w:rFonts w:cs="Times New Roman"/>
          <w:szCs w:val="24"/>
        </w:rPr>
        <w:t xml:space="preserve">  On the southern border of Anaqua</w:t>
      </w:r>
      <w:r w:rsidR="007E7F72">
        <w:rPr>
          <w:rFonts w:cs="Times New Roman"/>
          <w:szCs w:val="24"/>
        </w:rPr>
        <w:t xml:space="preserve"> Springs</w:t>
      </w:r>
      <w:r>
        <w:rPr>
          <w:rFonts w:cs="Times New Roman"/>
          <w:szCs w:val="24"/>
        </w:rPr>
        <w:t xml:space="preserve">, CPS </w:t>
      </w:r>
      <w:r w:rsidR="005F65A0">
        <w:rPr>
          <w:rFonts w:cs="Times New Roman"/>
          <w:szCs w:val="24"/>
        </w:rPr>
        <w:t xml:space="preserve">Energy </w:t>
      </w:r>
      <w:r>
        <w:rPr>
          <w:rFonts w:cs="Times New Roman"/>
          <w:szCs w:val="24"/>
        </w:rPr>
        <w:t xml:space="preserve">weighed paralleling property lines heavily.  In fact, paralleling property lines along the southern borders comes at the expense of having the line closer than 300 feet to three homes, and because Segment 38 diverts to the northwest, then turns to follow the property line before becoming Segment 43 and then turning back to the southwest, CPS </w:t>
      </w:r>
      <w:r w:rsidR="005F65A0">
        <w:rPr>
          <w:rFonts w:cs="Times New Roman"/>
          <w:szCs w:val="24"/>
        </w:rPr>
        <w:t xml:space="preserve">Energy </w:t>
      </w:r>
      <w:r>
        <w:rPr>
          <w:rFonts w:cs="Times New Roman"/>
          <w:szCs w:val="24"/>
        </w:rPr>
        <w:t xml:space="preserve">has added the cost of the angle structures and additional unnecessary length.  Thus, in this instance, rather than moderating the impact to the landowners, CPS </w:t>
      </w:r>
      <w:r w:rsidR="005F65A0">
        <w:rPr>
          <w:rFonts w:cs="Times New Roman"/>
          <w:szCs w:val="24"/>
        </w:rPr>
        <w:t xml:space="preserve">Energy </w:t>
      </w:r>
      <w:r>
        <w:rPr>
          <w:rFonts w:cs="Times New Roman"/>
          <w:szCs w:val="24"/>
        </w:rPr>
        <w:t>has chosen to increase its costs and directly impact homes for the benefit of approximately 400 feet of paralleling property lines.  Therefore, without some type of mitigation to the homeowners, those Segments should not be routed in that manner.</w:t>
      </w:r>
    </w:p>
    <w:p w14:paraId="329B9F91" w14:textId="74DA36CC" w:rsidR="004C4306" w:rsidRDefault="00081D50"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It is unclear from the record why CPS </w:t>
      </w:r>
      <w:r w:rsidR="005F65A0">
        <w:rPr>
          <w:rFonts w:cs="Times New Roman"/>
          <w:szCs w:val="24"/>
        </w:rPr>
        <w:t xml:space="preserve">Energy </w:t>
      </w:r>
      <w:r>
        <w:rPr>
          <w:rFonts w:cs="Times New Roman"/>
          <w:szCs w:val="24"/>
        </w:rPr>
        <w:t xml:space="preserve">rerouted </w:t>
      </w:r>
      <w:r w:rsidR="00DE7ECC">
        <w:rPr>
          <w:rFonts w:cs="Times New Roman"/>
          <w:szCs w:val="24"/>
        </w:rPr>
        <w:t>portions of</w:t>
      </w:r>
      <w:r>
        <w:rPr>
          <w:rFonts w:cs="Times New Roman"/>
          <w:szCs w:val="24"/>
        </w:rPr>
        <w:t xml:space="preserve"> these segments to avoid the homes but left parts of the lines impacting others.  </w:t>
      </w:r>
      <w:r w:rsidR="00BA42BA">
        <w:rPr>
          <w:rFonts w:cs="Times New Roman"/>
          <w:szCs w:val="24"/>
        </w:rPr>
        <w:t>There are no homes to the south of those segments</w:t>
      </w:r>
      <w:r w:rsidR="006A0C98">
        <w:rPr>
          <w:rFonts w:cs="Times New Roman"/>
          <w:szCs w:val="24"/>
        </w:rPr>
        <w:t xml:space="preserve"> for great distances</w:t>
      </w:r>
      <w:r w:rsidR="00BA42BA">
        <w:rPr>
          <w:rFonts w:cs="Times New Roman"/>
          <w:szCs w:val="24"/>
        </w:rPr>
        <w:t>, and the line would not have to be moved far to move it more than 300 feet away from the homes in Anaqua Springs.  According to CPS</w:t>
      </w:r>
      <w:r w:rsidR="005F65A0">
        <w:rPr>
          <w:rFonts w:cs="Times New Roman"/>
          <w:szCs w:val="24"/>
        </w:rPr>
        <w:t xml:space="preserve"> Energy</w:t>
      </w:r>
      <w:r w:rsidR="00BA42BA">
        <w:rPr>
          <w:rFonts w:cs="Times New Roman"/>
          <w:szCs w:val="24"/>
        </w:rPr>
        <w:t xml:space="preserve">, Sunil Dwivedi’s home, which CPS </w:t>
      </w:r>
      <w:r w:rsidR="005F65A0">
        <w:rPr>
          <w:rFonts w:cs="Times New Roman"/>
          <w:szCs w:val="24"/>
        </w:rPr>
        <w:t xml:space="preserve">Energy </w:t>
      </w:r>
      <w:r w:rsidR="00DE7ECC">
        <w:rPr>
          <w:rFonts w:cs="Times New Roman"/>
          <w:szCs w:val="24"/>
        </w:rPr>
        <w:t xml:space="preserve">mistakenly </w:t>
      </w:r>
      <w:r w:rsidR="00BA42BA">
        <w:rPr>
          <w:rFonts w:cs="Times New Roman"/>
          <w:szCs w:val="24"/>
        </w:rPr>
        <w:t xml:space="preserve">believed </w:t>
      </w:r>
      <w:r w:rsidR="00DE7ECC">
        <w:rPr>
          <w:rFonts w:cs="Times New Roman"/>
          <w:szCs w:val="24"/>
        </w:rPr>
        <w:t>was the only home within 300 feet of Segments 38, 39, and 43</w:t>
      </w:r>
      <w:r w:rsidR="003E3D32">
        <w:rPr>
          <w:rFonts w:cs="Times New Roman"/>
          <w:szCs w:val="24"/>
        </w:rPr>
        <w:t>, is</w:t>
      </w:r>
      <w:r w:rsidR="00941983">
        <w:rPr>
          <w:rFonts w:cs="Times New Roman"/>
          <w:szCs w:val="24"/>
        </w:rPr>
        <w:t xml:space="preserve"> </w:t>
      </w:r>
      <w:r w:rsidR="00A62CE8">
        <w:rPr>
          <w:rFonts w:cs="Times New Roman"/>
          <w:szCs w:val="24"/>
        </w:rPr>
        <w:t>218</w:t>
      </w:r>
      <w:r w:rsidR="00BA42BA">
        <w:rPr>
          <w:rFonts w:cs="Times New Roman"/>
          <w:szCs w:val="24"/>
        </w:rPr>
        <w:t xml:space="preserve"> feet away from the node at Segments 38, 39, and 43.</w:t>
      </w:r>
      <w:r w:rsidR="00EB6A64">
        <w:rPr>
          <w:rStyle w:val="FootnoteReference"/>
          <w:rFonts w:cs="Times New Roman"/>
          <w:sz w:val="24"/>
          <w:szCs w:val="24"/>
        </w:rPr>
        <w:footnoteReference w:id="48"/>
      </w:r>
      <w:r w:rsidR="00BA42BA">
        <w:rPr>
          <w:rFonts w:cs="Times New Roman"/>
          <w:szCs w:val="24"/>
        </w:rPr>
        <w:t xml:space="preserve">  The </w:t>
      </w:r>
      <w:r w:rsidR="00DE7ECC">
        <w:rPr>
          <w:rFonts w:cs="Times New Roman"/>
          <w:szCs w:val="24"/>
        </w:rPr>
        <w:t xml:space="preserve">accurate count of the homes includes the </w:t>
      </w:r>
      <w:r w:rsidR="00BA42BA">
        <w:rPr>
          <w:rFonts w:cs="Times New Roman"/>
          <w:szCs w:val="24"/>
        </w:rPr>
        <w:t xml:space="preserve">Cichowskis’ home </w:t>
      </w:r>
      <w:r w:rsidR="00DE7ECC">
        <w:rPr>
          <w:rFonts w:cs="Times New Roman"/>
          <w:szCs w:val="24"/>
        </w:rPr>
        <w:t>at</w:t>
      </w:r>
      <w:r w:rsidR="00BA42BA">
        <w:rPr>
          <w:rFonts w:cs="Times New Roman"/>
          <w:szCs w:val="24"/>
        </w:rPr>
        <w:t xml:space="preserve"> </w:t>
      </w:r>
      <w:r w:rsidR="00A62CE8">
        <w:rPr>
          <w:rFonts w:cs="Times New Roman"/>
          <w:szCs w:val="24"/>
        </w:rPr>
        <w:t>280</w:t>
      </w:r>
      <w:r w:rsidR="00BA42BA">
        <w:rPr>
          <w:rFonts w:cs="Times New Roman"/>
          <w:szCs w:val="24"/>
        </w:rPr>
        <w:t xml:space="preserve"> feet away from Segment 43, and the Rosales’s </w:t>
      </w:r>
      <w:r w:rsidR="00BA42BA">
        <w:rPr>
          <w:rFonts w:cs="Times New Roman"/>
          <w:szCs w:val="24"/>
        </w:rPr>
        <w:lastRenderedPageBreak/>
        <w:t xml:space="preserve">home </w:t>
      </w:r>
      <w:r w:rsidR="00DE7ECC">
        <w:rPr>
          <w:rFonts w:cs="Times New Roman"/>
          <w:szCs w:val="24"/>
        </w:rPr>
        <w:t>at</w:t>
      </w:r>
      <w:r w:rsidR="00E227D2">
        <w:rPr>
          <w:rFonts w:cs="Times New Roman"/>
          <w:szCs w:val="24"/>
        </w:rPr>
        <w:t xml:space="preserve"> 228</w:t>
      </w:r>
      <w:r w:rsidR="00BA42BA">
        <w:rPr>
          <w:rFonts w:cs="Times New Roman"/>
          <w:szCs w:val="24"/>
        </w:rPr>
        <w:t xml:space="preserve"> feet away from Segment 38.</w:t>
      </w:r>
      <w:r w:rsidR="004F71DA">
        <w:rPr>
          <w:rStyle w:val="FootnoteReference"/>
          <w:rFonts w:cs="Times New Roman"/>
          <w:sz w:val="24"/>
          <w:szCs w:val="24"/>
        </w:rPr>
        <w:footnoteReference w:id="49"/>
      </w:r>
      <w:r w:rsidR="00BA42BA">
        <w:rPr>
          <w:rFonts w:cs="Times New Roman"/>
          <w:szCs w:val="24"/>
        </w:rPr>
        <w:t xml:space="preserve">  </w:t>
      </w:r>
      <w:r w:rsidR="00062D41">
        <w:rPr>
          <w:rFonts w:cs="Times New Roman"/>
          <w:szCs w:val="24"/>
        </w:rPr>
        <w:t>There are no homes immediately to the south of the Anaqua Springs</w:t>
      </w:r>
      <w:r w:rsidR="00C36022">
        <w:rPr>
          <w:rFonts w:cs="Times New Roman"/>
          <w:szCs w:val="24"/>
        </w:rPr>
        <w:t>’</w:t>
      </w:r>
      <w:r w:rsidR="00062D41">
        <w:rPr>
          <w:rFonts w:cs="Times New Roman"/>
          <w:szCs w:val="24"/>
        </w:rPr>
        <w:t xml:space="preserve"> southern border, so a slight adjustment would not impact additional homes.</w:t>
      </w:r>
      <w:r w:rsidR="00385C10">
        <w:rPr>
          <w:rStyle w:val="FootnoteReference"/>
          <w:rFonts w:cs="Times New Roman"/>
          <w:sz w:val="24"/>
          <w:szCs w:val="24"/>
        </w:rPr>
        <w:footnoteReference w:id="50"/>
      </w:r>
      <w:r w:rsidR="00062D41">
        <w:rPr>
          <w:rFonts w:cs="Times New Roman"/>
          <w:szCs w:val="24"/>
        </w:rPr>
        <w:t xml:space="preserve">  </w:t>
      </w:r>
      <w:r w:rsidR="00DE7ECC">
        <w:rPr>
          <w:rFonts w:cs="Times New Roman"/>
          <w:szCs w:val="24"/>
        </w:rPr>
        <w:t xml:space="preserve">CPS </w:t>
      </w:r>
      <w:r w:rsidR="005F65A0">
        <w:rPr>
          <w:rFonts w:cs="Times New Roman"/>
          <w:szCs w:val="24"/>
        </w:rPr>
        <w:t xml:space="preserve">Energy </w:t>
      </w:r>
      <w:r w:rsidR="00DE7ECC">
        <w:rPr>
          <w:rFonts w:cs="Times New Roman"/>
          <w:szCs w:val="24"/>
        </w:rPr>
        <w:t>again made routing decisions based on incomplete and inaccurate data.</w:t>
      </w:r>
    </w:p>
    <w:p w14:paraId="4DB9D59A" w14:textId="35D88E8A" w:rsidR="009B5518" w:rsidRPr="00042E70" w:rsidRDefault="00337A55" w:rsidP="00BE3521">
      <w:pPr>
        <w:pStyle w:val="CROutline4"/>
      </w:pPr>
      <w:bookmarkStart w:id="26" w:name="_Toc72496219"/>
      <w:r w:rsidRPr="00042E70">
        <w:t>Segment 54</w:t>
      </w:r>
      <w:bookmarkEnd w:id="26"/>
    </w:p>
    <w:p w14:paraId="4FB1257F" w14:textId="7275339B" w:rsidR="00042E70" w:rsidRDefault="00AE6C9A"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042E70">
        <w:rPr>
          <w:rFonts w:cs="Times New Roman"/>
          <w:szCs w:val="24"/>
        </w:rPr>
        <w:t xml:space="preserve">In addition to the omissions and the impacted habitable structures in Anaqua Springs, CPS </w:t>
      </w:r>
      <w:r w:rsidR="005F65A0">
        <w:rPr>
          <w:rFonts w:cs="Times New Roman"/>
          <w:szCs w:val="24"/>
        </w:rPr>
        <w:t xml:space="preserve">Energy </w:t>
      </w:r>
      <w:r w:rsidR="00042E70">
        <w:rPr>
          <w:rFonts w:cs="Times New Roman"/>
          <w:szCs w:val="24"/>
        </w:rPr>
        <w:t>has also routed the line along Segment 54, where homes are on small lots, and some of those homes would have the line routed across their front yards.</w:t>
      </w:r>
      <w:r w:rsidR="00042E70">
        <w:rPr>
          <w:rStyle w:val="FootnoteReference"/>
          <w:rFonts w:cs="Times New Roman"/>
          <w:sz w:val="24"/>
          <w:szCs w:val="24"/>
        </w:rPr>
        <w:footnoteReference w:id="51"/>
      </w:r>
      <w:r w:rsidR="00042E70">
        <w:rPr>
          <w:rFonts w:cs="Times New Roman"/>
          <w:szCs w:val="24"/>
        </w:rPr>
        <w:t xml:space="preserve">  CPS </w:t>
      </w:r>
      <w:r w:rsidR="005F65A0">
        <w:rPr>
          <w:rFonts w:cs="Times New Roman"/>
          <w:szCs w:val="24"/>
        </w:rPr>
        <w:t xml:space="preserve">Energy </w:t>
      </w:r>
      <w:r w:rsidR="00042E70">
        <w:rPr>
          <w:rFonts w:cs="Times New Roman"/>
          <w:szCs w:val="24"/>
        </w:rPr>
        <w:t>also miscounted habitable structures on Segment 54 and added one during this proceeding.</w:t>
      </w:r>
    </w:p>
    <w:p w14:paraId="30F3317C" w14:textId="1549B91F" w:rsidR="00F629BD" w:rsidRDefault="00042E70"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6116F4">
        <w:rPr>
          <w:rFonts w:cs="Times New Roman"/>
          <w:szCs w:val="24"/>
        </w:rPr>
        <w:t>In contrast</w:t>
      </w:r>
      <w:r w:rsidR="00D14B29">
        <w:rPr>
          <w:rFonts w:cs="Times New Roman"/>
          <w:szCs w:val="24"/>
        </w:rPr>
        <w:t xml:space="preserve"> to the small lots in Scenic and Serene Hills on Segment 54,</w:t>
      </w:r>
      <w:r w:rsidR="006116F4">
        <w:rPr>
          <w:rFonts w:cs="Times New Roman"/>
          <w:szCs w:val="24"/>
        </w:rPr>
        <w:t xml:space="preserve"> the lots in Clearwater Ranch </w:t>
      </w:r>
      <w:r w:rsidR="009A21C8">
        <w:rPr>
          <w:rFonts w:cs="Times New Roman"/>
          <w:szCs w:val="24"/>
        </w:rPr>
        <w:t xml:space="preserve">POA (“Clearwater”) </w:t>
      </w:r>
      <w:r w:rsidR="00B35F5B">
        <w:rPr>
          <w:rFonts w:cs="Times New Roman"/>
          <w:szCs w:val="24"/>
        </w:rPr>
        <w:t xml:space="preserve">on Segments 26a, and 37 </w:t>
      </w:r>
      <w:r w:rsidR="006116F4">
        <w:rPr>
          <w:rFonts w:cs="Times New Roman"/>
          <w:szCs w:val="24"/>
        </w:rPr>
        <w:t>are large, multi-acre lots, and CPS</w:t>
      </w:r>
      <w:r w:rsidR="005F65A0" w:rsidRPr="005F65A0">
        <w:rPr>
          <w:rFonts w:cs="Times New Roman"/>
          <w:szCs w:val="24"/>
        </w:rPr>
        <w:t xml:space="preserve"> </w:t>
      </w:r>
      <w:r w:rsidR="005F65A0">
        <w:rPr>
          <w:rFonts w:cs="Times New Roman"/>
          <w:szCs w:val="24"/>
        </w:rPr>
        <w:t>Energy</w:t>
      </w:r>
      <w:r w:rsidR="006116F4">
        <w:rPr>
          <w:rFonts w:cs="Times New Roman"/>
          <w:szCs w:val="24"/>
        </w:rPr>
        <w:t xml:space="preserve">’s routing in that area </w:t>
      </w:r>
      <w:r w:rsidR="00FD6677">
        <w:rPr>
          <w:rFonts w:cs="Times New Roman"/>
          <w:szCs w:val="24"/>
        </w:rPr>
        <w:t xml:space="preserve">avoids many of the existing habitable structures.  A review of the </w:t>
      </w:r>
      <w:r w:rsidR="00B051BA">
        <w:rPr>
          <w:rFonts w:cs="Times New Roman"/>
          <w:szCs w:val="24"/>
        </w:rPr>
        <w:t>habitable</w:t>
      </w:r>
      <w:r w:rsidR="00FD6677">
        <w:rPr>
          <w:rFonts w:cs="Times New Roman"/>
          <w:szCs w:val="24"/>
        </w:rPr>
        <w:t xml:space="preserve"> structure map attached to Ms. Meaux’s </w:t>
      </w:r>
      <w:r w:rsidR="00B35F5B">
        <w:rPr>
          <w:rFonts w:cs="Times New Roman"/>
          <w:szCs w:val="24"/>
        </w:rPr>
        <w:t xml:space="preserve">rebuttal </w:t>
      </w:r>
      <w:r w:rsidR="00FD6677">
        <w:rPr>
          <w:rFonts w:cs="Times New Roman"/>
          <w:szCs w:val="24"/>
        </w:rPr>
        <w:t xml:space="preserve">testimony shows that only a few homes in Clearwater are within 300 feet of the transmission line.  </w:t>
      </w:r>
    </w:p>
    <w:p w14:paraId="7E5496B2" w14:textId="484F9ED2" w:rsidR="004A034D" w:rsidRDefault="00391661"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5A69A2">
        <w:rPr>
          <w:rFonts w:cs="Times New Roman"/>
          <w:szCs w:val="24"/>
        </w:rPr>
        <w:t>Because the routes along Toutant, including CPS</w:t>
      </w:r>
      <w:r w:rsidR="005F65A0">
        <w:rPr>
          <w:rFonts w:cs="Times New Roman"/>
          <w:szCs w:val="24"/>
        </w:rPr>
        <w:t xml:space="preserve"> Energy</w:t>
      </w:r>
      <w:r w:rsidR="005A69A2">
        <w:rPr>
          <w:rFonts w:cs="Times New Roman"/>
          <w:szCs w:val="24"/>
        </w:rPr>
        <w:t>’s best meets route</w:t>
      </w:r>
      <w:r w:rsidR="00D85751">
        <w:rPr>
          <w:rFonts w:cs="Times New Roman"/>
          <w:szCs w:val="24"/>
        </w:rPr>
        <w:t>,</w:t>
      </w:r>
      <w:r w:rsidR="005A69A2">
        <w:rPr>
          <w:rFonts w:cs="Times New Roman"/>
          <w:szCs w:val="24"/>
        </w:rPr>
        <w:t xml:space="preserve"> do little to moderate impact on </w:t>
      </w:r>
      <w:r w:rsidR="00F31A23">
        <w:rPr>
          <w:rFonts w:cs="Times New Roman"/>
          <w:szCs w:val="24"/>
        </w:rPr>
        <w:t>the affected community and landowners</w:t>
      </w:r>
      <w:r w:rsidR="00D85751">
        <w:rPr>
          <w:rFonts w:cs="Times New Roman"/>
          <w:szCs w:val="24"/>
        </w:rPr>
        <w:t xml:space="preserve"> when compared to other routes</w:t>
      </w:r>
      <w:r w:rsidR="00F31A23">
        <w:rPr>
          <w:rFonts w:cs="Times New Roman"/>
          <w:szCs w:val="24"/>
        </w:rPr>
        <w:t>,</w:t>
      </w:r>
      <w:r w:rsidR="005F2557">
        <w:rPr>
          <w:rFonts w:cs="Times New Roman"/>
          <w:szCs w:val="24"/>
        </w:rPr>
        <w:t xml:space="preserve"> Anaqua Springs </w:t>
      </w:r>
      <w:r w:rsidR="00B35F5B">
        <w:rPr>
          <w:rFonts w:cs="Times New Roman"/>
          <w:szCs w:val="24"/>
        </w:rPr>
        <w:t>HOA</w:t>
      </w:r>
      <w:r w:rsidR="005F2557">
        <w:rPr>
          <w:rFonts w:cs="Times New Roman"/>
          <w:szCs w:val="24"/>
        </w:rPr>
        <w:t xml:space="preserve"> asserts that </w:t>
      </w:r>
      <w:r w:rsidR="00422211">
        <w:rPr>
          <w:rFonts w:cs="Times New Roman"/>
          <w:szCs w:val="24"/>
        </w:rPr>
        <w:t xml:space="preserve">a route with fewer habitable </w:t>
      </w:r>
      <w:r w:rsidR="00B25FE1">
        <w:rPr>
          <w:rFonts w:cs="Times New Roman"/>
          <w:szCs w:val="24"/>
        </w:rPr>
        <w:t>structures</w:t>
      </w:r>
      <w:r w:rsidR="00422211">
        <w:rPr>
          <w:rFonts w:cs="Times New Roman"/>
          <w:szCs w:val="24"/>
        </w:rPr>
        <w:t xml:space="preserve"> is a better choice.</w:t>
      </w:r>
      <w:r w:rsidR="001D48DA">
        <w:rPr>
          <w:rFonts w:cs="Times New Roman"/>
          <w:szCs w:val="24"/>
        </w:rPr>
        <w:t xml:space="preserve">  </w:t>
      </w:r>
    </w:p>
    <w:p w14:paraId="36B8677E" w14:textId="6809CA74" w:rsidR="002A4B27" w:rsidRPr="006D0690" w:rsidRDefault="001935A7" w:rsidP="00BE3521">
      <w:pPr>
        <w:pStyle w:val="CROutline4"/>
      </w:pPr>
      <w:bookmarkStart w:id="27" w:name="_Toc72496220"/>
      <w:r>
        <w:t>Landowner groups and actual impact</w:t>
      </w:r>
      <w:bookmarkEnd w:id="27"/>
    </w:p>
    <w:p w14:paraId="4B5DD134" w14:textId="318CBFD9" w:rsidR="002A4B27" w:rsidRDefault="002A4B27" w:rsidP="00285E80">
      <w:pPr>
        <w:tabs>
          <w:tab w:val="left" w:pos="720"/>
          <w:tab w:val="left" w:pos="1080"/>
          <w:tab w:val="left" w:pos="1440"/>
        </w:tabs>
        <w:spacing w:after="0" w:line="480" w:lineRule="auto"/>
        <w:jc w:val="both"/>
        <w:rPr>
          <w:rFonts w:cs="Times New Roman"/>
          <w:szCs w:val="24"/>
        </w:rPr>
      </w:pPr>
      <w:r>
        <w:rPr>
          <w:rFonts w:cs="Times New Roman"/>
          <w:szCs w:val="24"/>
        </w:rPr>
        <w:tab/>
        <w:t>A number of landowner groups have intervened in this case.</w:t>
      </w:r>
      <w:r w:rsidR="006D0690">
        <w:rPr>
          <w:rFonts w:cs="Times New Roman"/>
          <w:szCs w:val="24"/>
        </w:rPr>
        <w:t xml:space="preserve">  But their interests do not necessarily align.  For example, Clearwater intervened as a property owners association, and everyone who filed testimony on behalf of Clearwater filed substantially identical testimony.  But </w:t>
      </w:r>
      <w:r w:rsidR="006D0690">
        <w:rPr>
          <w:rFonts w:cs="Times New Roman"/>
          <w:szCs w:val="24"/>
        </w:rPr>
        <w:lastRenderedPageBreak/>
        <w:t>their interests are not identical.  For example, Route R1 utilizes Segment 26a, which crosses properties on the southern portion of Clearwater.  While Route P utilizes Segment</w:t>
      </w:r>
      <w:r w:rsidR="00B35F5B">
        <w:rPr>
          <w:rFonts w:cs="Times New Roman"/>
          <w:szCs w:val="24"/>
        </w:rPr>
        <w:t xml:space="preserve"> </w:t>
      </w:r>
      <w:r w:rsidR="006D0690">
        <w:rPr>
          <w:rFonts w:cs="Times New Roman"/>
          <w:szCs w:val="24"/>
        </w:rPr>
        <w:t>37, which cross</w:t>
      </w:r>
      <w:r w:rsidR="00B35F5B">
        <w:rPr>
          <w:rFonts w:cs="Times New Roman"/>
          <w:szCs w:val="24"/>
        </w:rPr>
        <w:t>es</w:t>
      </w:r>
      <w:r w:rsidR="006D0690">
        <w:rPr>
          <w:rFonts w:cs="Times New Roman"/>
          <w:szCs w:val="24"/>
        </w:rPr>
        <w:t xml:space="preserve"> properties far to the north of those on Segment 26a.  Additionally, some of the </w:t>
      </w:r>
      <w:r w:rsidR="00B051BA">
        <w:rPr>
          <w:rFonts w:cs="Times New Roman"/>
          <w:szCs w:val="24"/>
        </w:rPr>
        <w:t>Clearwater</w:t>
      </w:r>
      <w:r w:rsidR="006D0690">
        <w:rPr>
          <w:rFonts w:cs="Times New Roman"/>
          <w:szCs w:val="24"/>
        </w:rPr>
        <w:t xml:space="preserve"> witnesses indicated they oppose Route W.  Route W does not impact them at all because it starts at Substation 6, far </w:t>
      </w:r>
      <w:r w:rsidR="00B35F5B">
        <w:rPr>
          <w:rFonts w:cs="Times New Roman"/>
          <w:szCs w:val="24"/>
        </w:rPr>
        <w:t>to the east</w:t>
      </w:r>
      <w:r w:rsidR="006D0690">
        <w:rPr>
          <w:rFonts w:cs="Times New Roman"/>
          <w:szCs w:val="24"/>
        </w:rPr>
        <w:t xml:space="preserve"> from Clearwater, and runs to the south.</w:t>
      </w:r>
      <w:r w:rsidR="001935A7">
        <w:rPr>
          <w:rFonts w:cs="Times New Roman"/>
          <w:szCs w:val="24"/>
        </w:rPr>
        <w:t xml:space="preserve">  </w:t>
      </w:r>
      <w:r w:rsidR="00B35F5B">
        <w:rPr>
          <w:rFonts w:cs="Times New Roman"/>
          <w:szCs w:val="24"/>
        </w:rPr>
        <w:t>It is unclear whether Route W would even be visible to Clearwater residents, and homes in the Canyons sit between them and Route W.</w:t>
      </w:r>
    </w:p>
    <w:p w14:paraId="2E63458B" w14:textId="7FA8AE56" w:rsidR="004122C9" w:rsidRDefault="001935A7"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Save Huntress Lane Area Association </w:t>
      </w:r>
      <w:r w:rsidR="00B35F5B">
        <w:rPr>
          <w:rFonts w:cs="Times New Roman"/>
          <w:szCs w:val="24"/>
        </w:rPr>
        <w:t xml:space="preserve">(“SHLAA”) </w:t>
      </w:r>
      <w:r>
        <w:rPr>
          <w:rFonts w:cs="Times New Roman"/>
          <w:szCs w:val="24"/>
        </w:rPr>
        <w:t xml:space="preserve">presents another </w:t>
      </w:r>
      <w:r w:rsidR="00B35F5B">
        <w:rPr>
          <w:rFonts w:cs="Times New Roman"/>
          <w:szCs w:val="24"/>
        </w:rPr>
        <w:t>issue</w:t>
      </w:r>
      <w:r>
        <w:rPr>
          <w:rFonts w:cs="Times New Roman"/>
          <w:szCs w:val="24"/>
        </w:rPr>
        <w:t xml:space="preserve">. It is composed of people who </w:t>
      </w:r>
      <w:r w:rsidR="00816D07">
        <w:rPr>
          <w:rFonts w:cs="Times New Roman"/>
          <w:szCs w:val="24"/>
        </w:rPr>
        <w:t xml:space="preserve">in some instances </w:t>
      </w:r>
      <w:r>
        <w:rPr>
          <w:rFonts w:cs="Times New Roman"/>
          <w:szCs w:val="24"/>
        </w:rPr>
        <w:t xml:space="preserve">live miles apart from each other and do not have aligned interests.  </w:t>
      </w:r>
      <w:r w:rsidR="00816D07">
        <w:rPr>
          <w:rFonts w:cs="Times New Roman"/>
          <w:szCs w:val="24"/>
        </w:rPr>
        <w:t>People who live on Huntress Lane, like Ms. Grimes</w:t>
      </w:r>
      <w:r w:rsidR="00B35F5B">
        <w:rPr>
          <w:rFonts w:cs="Times New Roman"/>
          <w:szCs w:val="24"/>
        </w:rPr>
        <w:t>,</w:t>
      </w:r>
      <w:r w:rsidR="00816D07">
        <w:rPr>
          <w:rFonts w:cs="Times New Roman"/>
          <w:szCs w:val="24"/>
        </w:rPr>
        <w:t xml:space="preserve"> are impacted most by the central routes, except those members who live closest to Substation 7.  The Canyons is bordered by several different segments.  Those who live in the north of The Canyons are much closer to 26a than those in the south. </w:t>
      </w:r>
      <w:r w:rsidR="00B233D6">
        <w:rPr>
          <w:rFonts w:cs="Times New Roman"/>
          <w:szCs w:val="24"/>
        </w:rPr>
        <w:t xml:space="preserve">People in the middle are far away from all of the proposed segments.  Finally, the Altair subdivision, which is in the far southeastern portion of the map has homes within 300 feet of only one segment.  It is disingenuous for such a </w:t>
      </w:r>
      <w:r w:rsidR="007C21B6">
        <w:rPr>
          <w:rFonts w:cs="Times New Roman"/>
          <w:szCs w:val="24"/>
        </w:rPr>
        <w:t xml:space="preserve">diverse </w:t>
      </w:r>
      <w:r w:rsidR="00B233D6">
        <w:rPr>
          <w:rFonts w:cs="Times New Roman"/>
          <w:szCs w:val="24"/>
        </w:rPr>
        <w:t>group of people</w:t>
      </w:r>
      <w:r w:rsidR="007C21B6">
        <w:rPr>
          <w:rFonts w:cs="Times New Roman"/>
          <w:szCs w:val="24"/>
        </w:rPr>
        <w:t xml:space="preserve"> with clearly disparate interests</w:t>
      </w:r>
      <w:r w:rsidR="00B233D6">
        <w:rPr>
          <w:rFonts w:cs="Times New Roman"/>
          <w:szCs w:val="24"/>
        </w:rPr>
        <w:t xml:space="preserve"> to form a coalition against all routes that are in the central and the southern portions of the subdivision.  At the hearing</w:t>
      </w:r>
      <w:r w:rsidR="00B233D6" w:rsidRPr="0020694A">
        <w:rPr>
          <w:rFonts w:cs="Times New Roman"/>
          <w:szCs w:val="24"/>
        </w:rPr>
        <w:t xml:space="preserve">, </w:t>
      </w:r>
      <w:r w:rsidR="0020694A" w:rsidRPr="0020694A">
        <w:rPr>
          <w:rFonts w:cs="Times New Roman"/>
          <w:szCs w:val="24"/>
        </w:rPr>
        <w:t>Mr. Clark</w:t>
      </w:r>
      <w:r w:rsidR="00B233D6" w:rsidRPr="0020694A">
        <w:rPr>
          <w:rFonts w:cs="Times New Roman"/>
          <w:szCs w:val="24"/>
        </w:rPr>
        <w:t xml:space="preserve"> finally</w:t>
      </w:r>
      <w:r w:rsidR="00B233D6">
        <w:rPr>
          <w:rFonts w:cs="Times New Roman"/>
          <w:szCs w:val="24"/>
        </w:rPr>
        <w:t xml:space="preserve"> admitted that their interests diverged</w:t>
      </w:r>
      <w:r w:rsidR="0020694A">
        <w:rPr>
          <w:rFonts w:cs="Times New Roman"/>
          <w:szCs w:val="24"/>
        </w:rPr>
        <w:t xml:space="preserve"> when he indicated that certain </w:t>
      </w:r>
      <w:r w:rsidR="001E7CAB">
        <w:rPr>
          <w:rFonts w:cs="Times New Roman"/>
          <w:szCs w:val="24"/>
        </w:rPr>
        <w:t>segments</w:t>
      </w:r>
      <w:r w:rsidR="0020694A">
        <w:rPr>
          <w:rFonts w:cs="Times New Roman"/>
          <w:szCs w:val="24"/>
        </w:rPr>
        <w:t xml:space="preserve"> would have very different impacts depending on whether the line crossed a property or was simply visible in the distance</w:t>
      </w:r>
      <w:r w:rsidR="00B233D6">
        <w:rPr>
          <w:rFonts w:cs="Times New Roman"/>
          <w:szCs w:val="24"/>
        </w:rPr>
        <w:t>.</w:t>
      </w:r>
      <w:r w:rsidR="006507F0">
        <w:rPr>
          <w:rStyle w:val="FootnoteReference"/>
          <w:rFonts w:cs="Times New Roman"/>
          <w:sz w:val="24"/>
          <w:szCs w:val="24"/>
        </w:rPr>
        <w:footnoteReference w:id="52"/>
      </w:r>
      <w:r w:rsidR="00B233D6">
        <w:rPr>
          <w:rFonts w:cs="Times New Roman"/>
          <w:szCs w:val="24"/>
        </w:rPr>
        <w:t xml:space="preserve">  </w:t>
      </w:r>
      <w:r w:rsidR="008477CF">
        <w:rPr>
          <w:rFonts w:cs="Times New Roman"/>
          <w:szCs w:val="24"/>
        </w:rPr>
        <w:t xml:space="preserve">It is unclear why so many of these individuals formed a group.  But not every </w:t>
      </w:r>
      <w:r w:rsidR="00B35F5B">
        <w:rPr>
          <w:rFonts w:cs="Times New Roman"/>
          <w:szCs w:val="24"/>
        </w:rPr>
        <w:t>homeowner in</w:t>
      </w:r>
      <w:r w:rsidR="008477CF">
        <w:rPr>
          <w:rFonts w:cs="Times New Roman"/>
          <w:szCs w:val="24"/>
        </w:rPr>
        <w:t xml:space="preserve"> the Canyons was in agreement.  Mr. Gutierrez hired his own attorney and did not oppose some of the central routing.</w:t>
      </w:r>
      <w:r w:rsidR="000332E0">
        <w:rPr>
          <w:rStyle w:val="FootnoteReference"/>
          <w:rFonts w:cs="Times New Roman"/>
          <w:sz w:val="24"/>
          <w:szCs w:val="24"/>
        </w:rPr>
        <w:footnoteReference w:id="53"/>
      </w:r>
      <w:r w:rsidR="00846FC9">
        <w:rPr>
          <w:rFonts w:cs="Times New Roman"/>
          <w:szCs w:val="24"/>
        </w:rPr>
        <w:t xml:space="preserve"> </w:t>
      </w:r>
      <w:r w:rsidR="00DA4456">
        <w:rPr>
          <w:rFonts w:cs="Times New Roman"/>
          <w:szCs w:val="24"/>
        </w:rPr>
        <w:t xml:space="preserve"> The ALJs </w:t>
      </w:r>
      <w:r w:rsidR="00DA4456">
        <w:rPr>
          <w:rFonts w:cs="Times New Roman"/>
          <w:szCs w:val="24"/>
        </w:rPr>
        <w:lastRenderedPageBreak/>
        <w:t>should give little weight to the attempt of a too-large coalition with significantly different interests to block all but one routing corridor.  A review of the intervenor map shows how untenable SHLAA’s position is.</w:t>
      </w:r>
    </w:p>
    <w:p w14:paraId="2CBA2CBA" w14:textId="00125889" w:rsidR="00746D10" w:rsidRDefault="00DF0A0B" w:rsidP="0026341C">
      <w:pPr>
        <w:tabs>
          <w:tab w:val="left" w:pos="360"/>
          <w:tab w:val="left" w:pos="720"/>
          <w:tab w:val="left" w:pos="1080"/>
          <w:tab w:val="left" w:pos="1440"/>
        </w:tabs>
        <w:spacing w:after="0" w:line="480" w:lineRule="auto"/>
        <w:jc w:val="both"/>
        <w:rPr>
          <w:rFonts w:cs="Times New Roman"/>
          <w:b/>
          <w:bCs/>
          <w:szCs w:val="24"/>
        </w:rPr>
      </w:pPr>
      <w:r>
        <w:rPr>
          <w:noProof/>
        </w:rPr>
        <w:drawing>
          <wp:anchor distT="0" distB="0" distL="114300" distR="114300" simplePos="0" relativeHeight="251661312" behindDoc="1" locked="0" layoutInCell="1" allowOverlap="1" wp14:anchorId="0A502EE1" wp14:editId="2DA2DC9B">
            <wp:simplePos x="0" y="0"/>
            <wp:positionH relativeFrom="column">
              <wp:posOffset>85725</wp:posOffset>
            </wp:positionH>
            <wp:positionV relativeFrom="paragraph">
              <wp:posOffset>72390</wp:posOffset>
            </wp:positionV>
            <wp:extent cx="5943600" cy="47332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4733290"/>
                    </a:xfrm>
                    <a:prstGeom prst="rect">
                      <a:avLst/>
                    </a:prstGeom>
                  </pic:spPr>
                </pic:pic>
              </a:graphicData>
            </a:graphic>
            <wp14:sizeRelH relativeFrom="page">
              <wp14:pctWidth>0</wp14:pctWidth>
            </wp14:sizeRelH>
            <wp14:sizeRelV relativeFrom="page">
              <wp14:pctHeight>0</wp14:pctHeight>
            </wp14:sizeRelV>
          </wp:anchor>
        </w:drawing>
      </w:r>
    </w:p>
    <w:p w14:paraId="679C1F1C"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3880551A" w14:textId="223C5840"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7435D4BD"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4215FA30"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0F5E8CC0"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7543F1C3"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4873C1EB"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74B5C7B1"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25D8F57A" w14:textId="77777777" w:rsidR="00746D10" w:rsidRDefault="00746D10" w:rsidP="0026341C">
      <w:pPr>
        <w:tabs>
          <w:tab w:val="left" w:pos="360"/>
          <w:tab w:val="left" w:pos="720"/>
          <w:tab w:val="left" w:pos="1080"/>
          <w:tab w:val="left" w:pos="1440"/>
        </w:tabs>
        <w:spacing w:after="0" w:line="480" w:lineRule="auto"/>
        <w:jc w:val="both"/>
        <w:rPr>
          <w:rFonts w:cs="Times New Roman"/>
          <w:b/>
          <w:bCs/>
          <w:szCs w:val="24"/>
        </w:rPr>
      </w:pPr>
    </w:p>
    <w:p w14:paraId="4009BD99" w14:textId="77777777" w:rsidR="00115801" w:rsidRDefault="00115801" w:rsidP="0026341C">
      <w:pPr>
        <w:tabs>
          <w:tab w:val="left" w:pos="360"/>
          <w:tab w:val="left" w:pos="720"/>
          <w:tab w:val="left" w:pos="1080"/>
          <w:tab w:val="left" w:pos="1440"/>
        </w:tabs>
        <w:spacing w:after="0" w:line="480" w:lineRule="auto"/>
        <w:jc w:val="both"/>
        <w:rPr>
          <w:rFonts w:cs="Times New Roman"/>
          <w:b/>
          <w:bCs/>
          <w:szCs w:val="24"/>
        </w:rPr>
      </w:pPr>
    </w:p>
    <w:p w14:paraId="3F876B6B" w14:textId="77777777" w:rsidR="00115801" w:rsidRDefault="00115801" w:rsidP="0026341C">
      <w:pPr>
        <w:tabs>
          <w:tab w:val="left" w:pos="360"/>
          <w:tab w:val="left" w:pos="720"/>
          <w:tab w:val="left" w:pos="1080"/>
          <w:tab w:val="left" w:pos="1440"/>
        </w:tabs>
        <w:spacing w:after="0" w:line="480" w:lineRule="auto"/>
        <w:jc w:val="both"/>
        <w:rPr>
          <w:rFonts w:cs="Times New Roman"/>
          <w:b/>
          <w:bCs/>
          <w:szCs w:val="24"/>
        </w:rPr>
      </w:pPr>
    </w:p>
    <w:p w14:paraId="6E929424" w14:textId="77777777" w:rsidR="00115801" w:rsidRDefault="00115801" w:rsidP="0026341C">
      <w:pPr>
        <w:tabs>
          <w:tab w:val="left" w:pos="360"/>
          <w:tab w:val="left" w:pos="720"/>
          <w:tab w:val="left" w:pos="1080"/>
          <w:tab w:val="left" w:pos="1440"/>
        </w:tabs>
        <w:spacing w:after="0" w:line="480" w:lineRule="auto"/>
        <w:jc w:val="both"/>
        <w:rPr>
          <w:rFonts w:cs="Times New Roman"/>
          <w:b/>
          <w:bCs/>
          <w:szCs w:val="24"/>
        </w:rPr>
      </w:pPr>
    </w:p>
    <w:p w14:paraId="663D0F03" w14:textId="77777777" w:rsidR="00115801" w:rsidRDefault="00115801" w:rsidP="0026341C">
      <w:pPr>
        <w:tabs>
          <w:tab w:val="left" w:pos="360"/>
          <w:tab w:val="left" w:pos="720"/>
          <w:tab w:val="left" w:pos="1080"/>
          <w:tab w:val="left" w:pos="1440"/>
        </w:tabs>
        <w:spacing w:after="0" w:line="480" w:lineRule="auto"/>
        <w:jc w:val="both"/>
        <w:rPr>
          <w:rFonts w:cs="Times New Roman"/>
          <w:b/>
          <w:bCs/>
          <w:szCs w:val="24"/>
        </w:rPr>
      </w:pPr>
    </w:p>
    <w:p w14:paraId="022F05D2" w14:textId="05351687" w:rsidR="00EC2DCF" w:rsidRDefault="00EC2DCF" w:rsidP="00285E80">
      <w:pPr>
        <w:tabs>
          <w:tab w:val="left" w:pos="720"/>
          <w:tab w:val="left" w:pos="1080"/>
          <w:tab w:val="left" w:pos="1440"/>
        </w:tabs>
        <w:spacing w:after="0" w:line="480" w:lineRule="auto"/>
        <w:jc w:val="both"/>
        <w:rPr>
          <w:rFonts w:cs="Times New Roman"/>
          <w:szCs w:val="24"/>
        </w:rPr>
      </w:pPr>
      <w:r>
        <w:rPr>
          <w:rFonts w:cs="Times New Roman"/>
          <w:b/>
          <w:bCs/>
          <w:szCs w:val="24"/>
        </w:rPr>
        <w:tab/>
      </w:r>
      <w:r>
        <w:rPr>
          <w:rFonts w:cs="Times New Roman"/>
          <w:szCs w:val="24"/>
        </w:rPr>
        <w:t xml:space="preserve">As can be seen on this excerpt of the Intervenor map, everything in yellow is </w:t>
      </w:r>
      <w:r w:rsidR="0026341C">
        <w:rPr>
          <w:rFonts w:cs="Times New Roman"/>
          <w:szCs w:val="24"/>
        </w:rPr>
        <w:t>SHLAA</w:t>
      </w:r>
      <w:r>
        <w:rPr>
          <w:rFonts w:cs="Times New Roman"/>
          <w:szCs w:val="24"/>
        </w:rPr>
        <w:t xml:space="preserve">. </w:t>
      </w:r>
      <w:r w:rsidR="0026341C">
        <w:rPr>
          <w:rFonts w:cs="Times New Roman"/>
          <w:szCs w:val="24"/>
        </w:rPr>
        <w:t xml:space="preserve"> By stating they all oppose every route that impacts everyone in their</w:t>
      </w:r>
      <w:r w:rsidR="00B35F5B">
        <w:rPr>
          <w:rFonts w:cs="Times New Roman"/>
          <w:szCs w:val="24"/>
        </w:rPr>
        <w:t xml:space="preserve"> own</w:t>
      </w:r>
      <w:r w:rsidR="0026341C">
        <w:rPr>
          <w:rFonts w:cs="Times New Roman"/>
          <w:szCs w:val="24"/>
        </w:rPr>
        <w:t xml:space="preserve"> neighborhoods and </w:t>
      </w:r>
      <w:r w:rsidR="00FB502B">
        <w:rPr>
          <w:rFonts w:cs="Times New Roman"/>
          <w:szCs w:val="24"/>
        </w:rPr>
        <w:t>subdivisions</w:t>
      </w:r>
      <w:r w:rsidR="00B35F5B">
        <w:rPr>
          <w:rFonts w:cs="Times New Roman"/>
          <w:szCs w:val="24"/>
        </w:rPr>
        <w:t>, everyone in other subdivisions, and every visual impact</w:t>
      </w:r>
      <w:r w:rsidR="0026341C">
        <w:rPr>
          <w:rFonts w:cs="Times New Roman"/>
          <w:szCs w:val="24"/>
        </w:rPr>
        <w:t xml:space="preserve">, they </w:t>
      </w:r>
      <w:r w:rsidR="00AC113F">
        <w:rPr>
          <w:rFonts w:cs="Times New Roman"/>
          <w:szCs w:val="24"/>
        </w:rPr>
        <w:t>prohibit a meaningful inquiry into their actual interests in the case.</w:t>
      </w:r>
      <w:r w:rsidR="00D0416C">
        <w:rPr>
          <w:rFonts w:cs="Times New Roman"/>
          <w:szCs w:val="24"/>
        </w:rPr>
        <w:t xml:space="preserve">  Therefore, their combined testimony should be given little </w:t>
      </w:r>
      <w:r w:rsidR="006E5E87">
        <w:rPr>
          <w:rFonts w:cs="Times New Roman"/>
          <w:szCs w:val="24"/>
        </w:rPr>
        <w:t xml:space="preserve">if any </w:t>
      </w:r>
      <w:r w:rsidR="00D0416C">
        <w:rPr>
          <w:rFonts w:cs="Times New Roman"/>
          <w:szCs w:val="24"/>
        </w:rPr>
        <w:t>weight.</w:t>
      </w:r>
      <w:r w:rsidR="006E5E87">
        <w:rPr>
          <w:rFonts w:cs="Times New Roman"/>
          <w:szCs w:val="24"/>
        </w:rPr>
        <w:t xml:space="preserve">  It is clear from the map that the witnesses are impacted differently </w:t>
      </w:r>
      <w:r w:rsidR="009A21C8">
        <w:rPr>
          <w:rFonts w:cs="Times New Roman"/>
          <w:szCs w:val="24"/>
        </w:rPr>
        <w:t>but are</w:t>
      </w:r>
      <w:r w:rsidR="006E5E87">
        <w:rPr>
          <w:rFonts w:cs="Times New Roman"/>
          <w:szCs w:val="24"/>
        </w:rPr>
        <w:t xml:space="preserve"> </w:t>
      </w:r>
      <w:r w:rsidR="006E5E87">
        <w:rPr>
          <w:rFonts w:cs="Times New Roman"/>
          <w:szCs w:val="24"/>
        </w:rPr>
        <w:lastRenderedPageBreak/>
        <w:t>attempting to create a conglomerate of differently interested parties</w:t>
      </w:r>
      <w:r w:rsidR="009A21C8">
        <w:rPr>
          <w:rFonts w:cs="Times New Roman"/>
          <w:szCs w:val="24"/>
        </w:rPr>
        <w:t>. This</w:t>
      </w:r>
      <w:r w:rsidR="006E5E87">
        <w:rPr>
          <w:rFonts w:cs="Times New Roman"/>
          <w:szCs w:val="24"/>
        </w:rPr>
        <w:t xml:space="preserve"> is not a litigation tactic that should be rewarded.</w:t>
      </w:r>
    </w:p>
    <w:p w14:paraId="6F6AD9BD" w14:textId="061DDF2A" w:rsidR="00416BD7" w:rsidRDefault="00416BD7" w:rsidP="00BE3521">
      <w:pPr>
        <w:pStyle w:val="CROutline3"/>
      </w:pPr>
      <w:bookmarkStart w:id="28" w:name="_Toc72496221"/>
      <w:r w:rsidRPr="00DF47F6">
        <w:t>Use of Compatible Rights-of-Way, Paralleling Existing Rights-of-Way</w:t>
      </w:r>
      <w:bookmarkEnd w:id="28"/>
    </w:p>
    <w:p w14:paraId="35316982" w14:textId="60ADE121" w:rsidR="00DF47F6" w:rsidRDefault="00DF47F6" w:rsidP="00285E80">
      <w:pPr>
        <w:tabs>
          <w:tab w:val="left" w:pos="720"/>
          <w:tab w:val="left" w:pos="1080"/>
          <w:tab w:val="left" w:pos="1440"/>
        </w:tabs>
        <w:spacing w:after="0" w:line="480" w:lineRule="auto"/>
        <w:jc w:val="both"/>
        <w:rPr>
          <w:rFonts w:cs="Times New Roman"/>
          <w:szCs w:val="24"/>
        </w:rPr>
      </w:pPr>
      <w:r>
        <w:rPr>
          <w:rFonts w:cs="Times New Roman"/>
          <w:szCs w:val="24"/>
        </w:rPr>
        <w:tab/>
        <w:t>A very small stretch of Segment 43, near the junction of Segments 39 and 39 parallels property lines.</w:t>
      </w:r>
      <w:r w:rsidR="00CD7A02">
        <w:rPr>
          <w:rFonts w:cs="Times New Roman"/>
          <w:szCs w:val="24"/>
        </w:rPr>
        <w:t xml:space="preserve">  Lisa Meaux testified in rebuttal and on cross-examination, paralleling property lines is not a more important criterion than others, including impacting habitable structures.</w:t>
      </w:r>
      <w:r w:rsidR="008E2934">
        <w:rPr>
          <w:rStyle w:val="FootnoteReference"/>
          <w:rFonts w:cs="Times New Roman"/>
          <w:sz w:val="24"/>
          <w:szCs w:val="24"/>
        </w:rPr>
        <w:footnoteReference w:id="54"/>
      </w:r>
      <w:r w:rsidR="00CD7A02">
        <w:rPr>
          <w:rFonts w:cs="Times New Roman"/>
          <w:szCs w:val="24"/>
        </w:rPr>
        <w:t xml:space="preserve"> </w:t>
      </w:r>
    </w:p>
    <w:p w14:paraId="152E32A9" w14:textId="09A28FA6" w:rsidR="002E4724" w:rsidRDefault="00D25768"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516DD6">
        <w:rPr>
          <w:rFonts w:cs="Times New Roman"/>
          <w:szCs w:val="24"/>
        </w:rPr>
        <w:t xml:space="preserve">The </w:t>
      </w:r>
      <w:r w:rsidR="00F27DBE">
        <w:rPr>
          <w:rFonts w:cs="Times New Roman"/>
          <w:szCs w:val="24"/>
        </w:rPr>
        <w:t>Commission</w:t>
      </w:r>
      <w:r w:rsidR="00516DD6">
        <w:rPr>
          <w:rFonts w:cs="Times New Roman"/>
          <w:szCs w:val="24"/>
        </w:rPr>
        <w:t xml:space="preserve">’s rules do not </w:t>
      </w:r>
      <w:r w:rsidR="00963A56">
        <w:rPr>
          <w:rFonts w:cs="Times New Roman"/>
          <w:szCs w:val="24"/>
        </w:rPr>
        <w:t>define</w:t>
      </w:r>
      <w:r w:rsidR="00516DD6">
        <w:rPr>
          <w:rFonts w:cs="Times New Roman"/>
          <w:szCs w:val="24"/>
        </w:rPr>
        <w:t xml:space="preserve"> “parallel.”  Although in the context of a CCN proceeding, paralleling must certainly mean that the line follows parallel to the property line at a reasonable distance, there is nothing in the rule to indicate that paralleling means abutting or that to be considered parallel, the line or its right</w:t>
      </w:r>
      <w:r w:rsidR="00963A56">
        <w:rPr>
          <w:rFonts w:cs="Times New Roman"/>
          <w:szCs w:val="24"/>
        </w:rPr>
        <w:t>-</w:t>
      </w:r>
      <w:r w:rsidR="00516DD6">
        <w:rPr>
          <w:rFonts w:cs="Times New Roman"/>
          <w:szCs w:val="24"/>
        </w:rPr>
        <w:t>of</w:t>
      </w:r>
      <w:r w:rsidR="00963A56">
        <w:rPr>
          <w:rFonts w:cs="Times New Roman"/>
          <w:szCs w:val="24"/>
        </w:rPr>
        <w:t>-</w:t>
      </w:r>
      <w:r w:rsidR="00516DD6">
        <w:rPr>
          <w:rFonts w:cs="Times New Roman"/>
          <w:szCs w:val="24"/>
        </w:rPr>
        <w:t xml:space="preserve">way must directly abut the property line.  Ms. Meaux indicated that Segment 15 generally parallels Huntress Lane but was not tabulated as parallel to Huntress Lane because it does not abut </w:t>
      </w:r>
      <w:r w:rsidR="009022E0">
        <w:rPr>
          <w:rFonts w:cs="Times New Roman"/>
          <w:szCs w:val="24"/>
        </w:rPr>
        <w:t>i</w:t>
      </w:r>
      <w:r w:rsidR="00516DD6">
        <w:rPr>
          <w:rFonts w:cs="Times New Roman"/>
          <w:szCs w:val="24"/>
        </w:rPr>
        <w:t>t.</w:t>
      </w:r>
      <w:r w:rsidR="008E2934">
        <w:rPr>
          <w:rStyle w:val="FootnoteReference"/>
          <w:rFonts w:cs="Times New Roman"/>
          <w:sz w:val="24"/>
          <w:szCs w:val="24"/>
        </w:rPr>
        <w:footnoteReference w:id="55"/>
      </w:r>
      <w:r w:rsidR="002E4724">
        <w:rPr>
          <w:rFonts w:cs="Times New Roman"/>
          <w:szCs w:val="24"/>
        </w:rPr>
        <w:t xml:space="preserve">  Yet, the </w:t>
      </w:r>
      <w:r w:rsidR="00F27DBE">
        <w:rPr>
          <w:rFonts w:cs="Times New Roman"/>
          <w:szCs w:val="24"/>
        </w:rPr>
        <w:t>Commission’s</w:t>
      </w:r>
      <w:r w:rsidR="002E4724">
        <w:rPr>
          <w:rFonts w:cs="Times New Roman"/>
          <w:szCs w:val="24"/>
        </w:rPr>
        <w:t xml:space="preserve"> routing criteria </w:t>
      </w:r>
      <w:r w:rsidR="00CE6076">
        <w:rPr>
          <w:rFonts w:cs="Times New Roman"/>
          <w:szCs w:val="24"/>
        </w:rPr>
        <w:t>rule</w:t>
      </w:r>
      <w:r w:rsidR="004B78E3">
        <w:rPr>
          <w:rFonts w:cs="Times New Roman"/>
          <w:szCs w:val="24"/>
        </w:rPr>
        <w:t>s</w:t>
      </w:r>
      <w:r w:rsidR="002E4724">
        <w:rPr>
          <w:rFonts w:cs="Times New Roman"/>
          <w:szCs w:val="24"/>
        </w:rPr>
        <w:t xml:space="preserve"> do not list “abut” as a criterion.  If the Commission had meant abut, it could have written its rule accordingly.  However, CPS </w:t>
      </w:r>
      <w:r w:rsidR="005F65A0">
        <w:rPr>
          <w:rFonts w:cs="Times New Roman"/>
          <w:szCs w:val="24"/>
        </w:rPr>
        <w:t xml:space="preserve">Energy </w:t>
      </w:r>
      <w:r w:rsidR="002E4724">
        <w:rPr>
          <w:rFonts w:cs="Times New Roman"/>
          <w:szCs w:val="24"/>
        </w:rPr>
        <w:t xml:space="preserve">has interpreted paralleling to mean abutting, and has </w:t>
      </w:r>
      <w:r w:rsidR="00F410EB">
        <w:rPr>
          <w:rFonts w:cs="Times New Roman"/>
          <w:szCs w:val="24"/>
        </w:rPr>
        <w:t>sacrificed</w:t>
      </w:r>
      <w:r w:rsidR="002E4724">
        <w:rPr>
          <w:rFonts w:cs="Times New Roman"/>
          <w:szCs w:val="24"/>
        </w:rPr>
        <w:t xml:space="preserve"> habitable structures </w:t>
      </w:r>
      <w:r w:rsidR="009A21C8">
        <w:rPr>
          <w:rFonts w:cs="Times New Roman"/>
          <w:szCs w:val="24"/>
        </w:rPr>
        <w:t>in favor</w:t>
      </w:r>
      <w:r w:rsidR="002E4724">
        <w:rPr>
          <w:rFonts w:cs="Times New Roman"/>
          <w:szCs w:val="24"/>
        </w:rPr>
        <w:t xml:space="preserve"> of abutting a </w:t>
      </w:r>
      <w:r w:rsidR="002A3A3B">
        <w:rPr>
          <w:rFonts w:cs="Times New Roman"/>
          <w:szCs w:val="24"/>
        </w:rPr>
        <w:t>property</w:t>
      </w:r>
      <w:r w:rsidR="002E4724">
        <w:rPr>
          <w:rFonts w:cs="Times New Roman"/>
          <w:szCs w:val="24"/>
        </w:rPr>
        <w:t xml:space="preserve"> line along </w:t>
      </w:r>
      <w:r w:rsidR="00963A56">
        <w:rPr>
          <w:rFonts w:cs="Times New Roman"/>
          <w:szCs w:val="24"/>
        </w:rPr>
        <w:t>Segments 38, 39, and 43</w:t>
      </w:r>
      <w:r w:rsidR="002E4724">
        <w:rPr>
          <w:rFonts w:cs="Times New Roman"/>
          <w:szCs w:val="24"/>
        </w:rPr>
        <w:t xml:space="preserve">.  </w:t>
      </w:r>
    </w:p>
    <w:p w14:paraId="01FC2928" w14:textId="3C6D92EB" w:rsidR="002E4724" w:rsidRPr="00DF47F6" w:rsidRDefault="005611E8"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2E4724">
        <w:rPr>
          <w:rFonts w:cs="Times New Roman"/>
          <w:szCs w:val="24"/>
        </w:rPr>
        <w:t xml:space="preserve">The western portion of Segment 43, the node at the intersection of 43, 39, and 38, and the western portion of Segment 38 are within 300 feet of homes in Anaqua Springs.  Yet, those segments could still parallel the property lines and be more than 300 feet away from those homes.  </w:t>
      </w:r>
      <w:r w:rsidR="00963A56">
        <w:rPr>
          <w:rFonts w:cs="Times New Roman"/>
          <w:szCs w:val="24"/>
        </w:rPr>
        <w:t>As discussed above</w:t>
      </w:r>
      <w:r w:rsidR="002E4724">
        <w:rPr>
          <w:rFonts w:cs="Times New Roman"/>
          <w:szCs w:val="24"/>
        </w:rPr>
        <w:t xml:space="preserve">, CPS </w:t>
      </w:r>
      <w:r w:rsidR="005F65A0">
        <w:rPr>
          <w:rFonts w:cs="Times New Roman"/>
          <w:szCs w:val="24"/>
        </w:rPr>
        <w:t xml:space="preserve">Energy </w:t>
      </w:r>
      <w:r w:rsidR="002E4724">
        <w:rPr>
          <w:rFonts w:cs="Times New Roman"/>
          <w:szCs w:val="24"/>
        </w:rPr>
        <w:t xml:space="preserve">failed to count two homes in Anaqua </w:t>
      </w:r>
      <w:r w:rsidR="002A3A3B">
        <w:rPr>
          <w:rFonts w:cs="Times New Roman"/>
          <w:szCs w:val="24"/>
        </w:rPr>
        <w:t>Springs</w:t>
      </w:r>
      <w:r w:rsidR="002E4724">
        <w:rPr>
          <w:rFonts w:cs="Times New Roman"/>
          <w:szCs w:val="24"/>
        </w:rPr>
        <w:t xml:space="preserve"> as </w:t>
      </w:r>
      <w:r w:rsidR="002A3A3B">
        <w:rPr>
          <w:rFonts w:cs="Times New Roman"/>
          <w:szCs w:val="24"/>
        </w:rPr>
        <w:t>habitable</w:t>
      </w:r>
      <w:r w:rsidR="002E4724">
        <w:rPr>
          <w:rFonts w:cs="Times New Roman"/>
          <w:szCs w:val="24"/>
        </w:rPr>
        <w:t xml:space="preserve"> </w:t>
      </w:r>
      <w:r w:rsidR="002A3A3B">
        <w:rPr>
          <w:rFonts w:cs="Times New Roman"/>
          <w:szCs w:val="24"/>
        </w:rPr>
        <w:lastRenderedPageBreak/>
        <w:t>structures</w:t>
      </w:r>
      <w:r w:rsidR="002E4724">
        <w:rPr>
          <w:rFonts w:cs="Times New Roman"/>
          <w:szCs w:val="24"/>
        </w:rPr>
        <w:t xml:space="preserve">, and when developing those Segments incorrectly believed that there was only one home </w:t>
      </w:r>
      <w:r w:rsidR="002A3A3B">
        <w:rPr>
          <w:rFonts w:cs="Times New Roman"/>
          <w:szCs w:val="24"/>
        </w:rPr>
        <w:t>within</w:t>
      </w:r>
      <w:r w:rsidR="002E4724">
        <w:rPr>
          <w:rFonts w:cs="Times New Roman"/>
          <w:szCs w:val="24"/>
        </w:rPr>
        <w:t xml:space="preserve"> 300 feet, the home of Sunil Dwivedi.</w:t>
      </w:r>
      <w:r w:rsidR="00EC1DC8">
        <w:rPr>
          <w:rStyle w:val="FootnoteReference"/>
          <w:rFonts w:cs="Times New Roman"/>
          <w:sz w:val="24"/>
          <w:szCs w:val="24"/>
        </w:rPr>
        <w:footnoteReference w:id="56"/>
      </w:r>
      <w:r w:rsidR="00367B08">
        <w:rPr>
          <w:rFonts w:cs="Times New Roman"/>
          <w:szCs w:val="24"/>
        </w:rPr>
        <w:t xml:space="preserve">  </w:t>
      </w:r>
    </w:p>
    <w:p w14:paraId="71301760" w14:textId="51329617" w:rsidR="00416BD7" w:rsidRPr="000D7FA8" w:rsidRDefault="00416BD7" w:rsidP="00BE3521">
      <w:pPr>
        <w:pStyle w:val="CROutline3"/>
      </w:pPr>
      <w:bookmarkStart w:id="29" w:name="_Toc72496222"/>
      <w:r w:rsidRPr="000D7FA8">
        <w:t>Prudent Avoidance</w:t>
      </w:r>
      <w:bookmarkEnd w:id="29"/>
    </w:p>
    <w:p w14:paraId="5C89235B" w14:textId="52AA2360" w:rsidR="00CB494A" w:rsidRDefault="009169E1" w:rsidP="00285E80">
      <w:pPr>
        <w:tabs>
          <w:tab w:val="left" w:pos="720"/>
          <w:tab w:val="left" w:pos="1080"/>
          <w:tab w:val="left" w:pos="1440"/>
        </w:tabs>
        <w:spacing w:after="0" w:line="480" w:lineRule="auto"/>
        <w:jc w:val="both"/>
        <w:rPr>
          <w:rFonts w:cs="Times New Roman"/>
          <w:szCs w:val="24"/>
        </w:rPr>
      </w:pPr>
      <w:r>
        <w:rPr>
          <w:rFonts w:cs="Times New Roman"/>
          <w:szCs w:val="24"/>
        </w:rPr>
        <w:tab/>
      </w:r>
      <w:r w:rsidR="00EF305E">
        <w:rPr>
          <w:rFonts w:cs="Times New Roman"/>
          <w:szCs w:val="24"/>
        </w:rPr>
        <w:t>A number of witnesses expressed concerns about</w:t>
      </w:r>
      <w:r w:rsidR="00642031">
        <w:rPr>
          <w:rFonts w:cs="Times New Roman"/>
          <w:szCs w:val="24"/>
        </w:rPr>
        <w:t xml:space="preserve"> electric and magnetic fields</w:t>
      </w:r>
      <w:r w:rsidR="00EF305E">
        <w:rPr>
          <w:rFonts w:cs="Times New Roman"/>
          <w:szCs w:val="24"/>
        </w:rPr>
        <w:t xml:space="preserve"> </w:t>
      </w:r>
      <w:r w:rsidR="00642031">
        <w:rPr>
          <w:rFonts w:cs="Times New Roman"/>
          <w:szCs w:val="24"/>
        </w:rPr>
        <w:t>(“</w:t>
      </w:r>
      <w:r w:rsidR="00EF305E">
        <w:rPr>
          <w:rFonts w:cs="Times New Roman"/>
          <w:szCs w:val="24"/>
        </w:rPr>
        <w:t>EMFs</w:t>
      </w:r>
      <w:r w:rsidR="00642031">
        <w:rPr>
          <w:rFonts w:cs="Times New Roman"/>
          <w:szCs w:val="24"/>
        </w:rPr>
        <w:t>”)</w:t>
      </w:r>
      <w:r w:rsidR="00EF305E">
        <w:rPr>
          <w:rFonts w:cs="Times New Roman"/>
          <w:szCs w:val="24"/>
        </w:rPr>
        <w:t>.</w:t>
      </w:r>
      <w:r w:rsidR="005241F0">
        <w:rPr>
          <w:rFonts w:cs="Times New Roman"/>
          <w:szCs w:val="24"/>
        </w:rPr>
        <w:t xml:space="preserve">  </w:t>
      </w:r>
      <w:r w:rsidR="004B03C9">
        <w:rPr>
          <w:rFonts w:cs="Times New Roman"/>
          <w:szCs w:val="24"/>
        </w:rPr>
        <w:t xml:space="preserve">The Commission recognizes these concerns in its policy on prudent avoidance.  </w:t>
      </w:r>
      <w:r w:rsidR="00C96189">
        <w:rPr>
          <w:rFonts w:cs="Times New Roman"/>
          <w:szCs w:val="24"/>
        </w:rPr>
        <w:t xml:space="preserve">One of the big concerns that impacts a large number of people is Sara McAndrew Elementary School.  </w:t>
      </w:r>
      <w:r w:rsidR="009A21C8">
        <w:rPr>
          <w:rFonts w:cs="Times New Roman"/>
          <w:szCs w:val="24"/>
        </w:rPr>
        <w:t>The</w:t>
      </w:r>
      <w:r w:rsidR="005241F0">
        <w:rPr>
          <w:rFonts w:cs="Times New Roman"/>
          <w:szCs w:val="24"/>
        </w:rPr>
        <w:t xml:space="preserve"> school </w:t>
      </w:r>
      <w:r w:rsidR="0004720B">
        <w:rPr>
          <w:rFonts w:cs="Times New Roman"/>
          <w:szCs w:val="24"/>
        </w:rPr>
        <w:t xml:space="preserve">and all of the children and other people who use the facilities </w:t>
      </w:r>
      <w:r w:rsidR="005241F0">
        <w:rPr>
          <w:rFonts w:cs="Times New Roman"/>
          <w:szCs w:val="24"/>
        </w:rPr>
        <w:t xml:space="preserve">can be avoided </w:t>
      </w:r>
      <w:r w:rsidR="005B0B26">
        <w:rPr>
          <w:rFonts w:cs="Times New Roman"/>
          <w:szCs w:val="24"/>
        </w:rPr>
        <w:t>completely</w:t>
      </w:r>
      <w:r w:rsidR="005241F0">
        <w:rPr>
          <w:rFonts w:cs="Times New Roman"/>
          <w:szCs w:val="24"/>
        </w:rPr>
        <w:t xml:space="preserve"> by choosing a route that does not run along Toutant.  </w:t>
      </w:r>
    </w:p>
    <w:p w14:paraId="7E4D5955" w14:textId="641C0A31" w:rsidR="000D7FA8" w:rsidRDefault="00CB494A"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The large habitable structure counts on the routes that utilize Toutant can be minimized </w:t>
      </w:r>
      <w:r w:rsidR="00A00CEC">
        <w:rPr>
          <w:rFonts w:cs="Times New Roman"/>
          <w:szCs w:val="24"/>
        </w:rPr>
        <w:t>by selecting a different route.</w:t>
      </w:r>
      <w:r w:rsidR="00E67A6C">
        <w:rPr>
          <w:rFonts w:cs="Times New Roman"/>
          <w:szCs w:val="24"/>
        </w:rPr>
        <w:t xml:space="preserve">  </w:t>
      </w:r>
      <w:r w:rsidR="005B0B26">
        <w:rPr>
          <w:rFonts w:cs="Times New Roman"/>
          <w:szCs w:val="24"/>
        </w:rPr>
        <w:t xml:space="preserve">Many fewer habitable structures are within 300 feet of the line on other routes.  </w:t>
      </w:r>
      <w:r w:rsidR="003A17EF">
        <w:rPr>
          <w:rFonts w:cs="Times New Roman"/>
          <w:szCs w:val="24"/>
        </w:rPr>
        <w:t xml:space="preserve">While some parties have argued the cost of those routes is not worth the difference in the habitable structure count, Anaqua Springs </w:t>
      </w:r>
      <w:r w:rsidR="00963A56">
        <w:rPr>
          <w:rFonts w:cs="Times New Roman"/>
          <w:szCs w:val="24"/>
        </w:rPr>
        <w:t xml:space="preserve">HOA </w:t>
      </w:r>
      <w:r w:rsidR="003A17EF">
        <w:rPr>
          <w:rFonts w:cs="Times New Roman"/>
          <w:szCs w:val="24"/>
        </w:rPr>
        <w:t xml:space="preserve">disagrees.  Based on the routing constraints on Toutant, the cost is likely underestimated.  Furthermore, if </w:t>
      </w:r>
      <w:r w:rsidR="00963A56">
        <w:rPr>
          <w:rFonts w:cs="Times New Roman"/>
          <w:szCs w:val="24"/>
        </w:rPr>
        <w:t>S</w:t>
      </w:r>
      <w:r w:rsidR="003A17EF">
        <w:rPr>
          <w:rFonts w:cs="Times New Roman"/>
          <w:szCs w:val="24"/>
        </w:rPr>
        <w:t xml:space="preserve">ubstation </w:t>
      </w:r>
      <w:r w:rsidR="00963A56">
        <w:rPr>
          <w:rFonts w:cs="Times New Roman"/>
          <w:szCs w:val="24"/>
        </w:rPr>
        <w:t>S</w:t>
      </w:r>
      <w:r w:rsidR="003A17EF">
        <w:rPr>
          <w:rFonts w:cs="Times New Roman"/>
          <w:szCs w:val="24"/>
        </w:rPr>
        <w:t xml:space="preserve">ite 7 is eliminated due to it being a flood hazard, particularly given the impending increase in development and impervious cover, the </w:t>
      </w:r>
      <w:r w:rsidR="0038369B">
        <w:rPr>
          <w:rFonts w:cs="Times New Roman"/>
          <w:szCs w:val="24"/>
        </w:rPr>
        <w:t xml:space="preserve">estimated </w:t>
      </w:r>
      <w:r w:rsidR="003A17EF">
        <w:rPr>
          <w:rFonts w:cs="Times New Roman"/>
          <w:szCs w:val="24"/>
        </w:rPr>
        <w:t xml:space="preserve">cost of a Toutant route out of </w:t>
      </w:r>
      <w:r w:rsidR="00F27DBE">
        <w:rPr>
          <w:rFonts w:cs="Times New Roman"/>
          <w:szCs w:val="24"/>
        </w:rPr>
        <w:t>S</w:t>
      </w:r>
      <w:r w:rsidR="003A17EF">
        <w:rPr>
          <w:rFonts w:cs="Times New Roman"/>
          <w:szCs w:val="24"/>
        </w:rPr>
        <w:t xml:space="preserve">ubstation </w:t>
      </w:r>
      <w:r w:rsidR="00F27DBE">
        <w:rPr>
          <w:rFonts w:cs="Times New Roman"/>
          <w:szCs w:val="24"/>
        </w:rPr>
        <w:t>S</w:t>
      </w:r>
      <w:r w:rsidR="003A17EF">
        <w:rPr>
          <w:rFonts w:cs="Times New Roman"/>
          <w:szCs w:val="24"/>
        </w:rPr>
        <w:t>ite 2 or 3 is essentially equivalent to other non-Toutant routes.</w:t>
      </w:r>
      <w:r w:rsidR="006B266B">
        <w:rPr>
          <w:rFonts w:cs="Times New Roman"/>
          <w:szCs w:val="24"/>
        </w:rPr>
        <w:t xml:space="preserve"> (Compare cost of </w:t>
      </w:r>
      <w:r w:rsidR="006B266B" w:rsidRPr="00963A56">
        <w:rPr>
          <w:rFonts w:cs="Times New Roman"/>
          <w:i/>
          <w:iCs/>
          <w:szCs w:val="24"/>
        </w:rPr>
        <w:t>I</w:t>
      </w:r>
      <w:r w:rsidR="006B266B">
        <w:rPr>
          <w:rFonts w:cs="Times New Roman"/>
          <w:szCs w:val="24"/>
        </w:rPr>
        <w:t xml:space="preserve">1 to </w:t>
      </w:r>
      <w:r w:rsidR="00963A56">
        <w:rPr>
          <w:rFonts w:cs="Times New Roman"/>
          <w:szCs w:val="24"/>
        </w:rPr>
        <w:t>c</w:t>
      </w:r>
      <w:r w:rsidR="006B266B">
        <w:rPr>
          <w:rFonts w:cs="Times New Roman"/>
          <w:szCs w:val="24"/>
        </w:rPr>
        <w:t>ost of P)</w:t>
      </w:r>
      <w:r w:rsidR="00DF5B8C">
        <w:rPr>
          <w:rFonts w:cs="Times New Roman"/>
          <w:szCs w:val="24"/>
        </w:rPr>
        <w:t>.</w:t>
      </w:r>
    </w:p>
    <w:p w14:paraId="01DD403F" w14:textId="653C1F90" w:rsidR="00EE5347" w:rsidRDefault="00416BD7" w:rsidP="009E5BEB">
      <w:pPr>
        <w:pStyle w:val="CROutline1"/>
        <w:ind w:left="720"/>
      </w:pPr>
      <w:bookmarkStart w:id="30" w:name="_Toc72496223"/>
      <w:r w:rsidRPr="00A6483A">
        <w:t>PRELIMINARY ORDER</w:t>
      </w:r>
      <w:r w:rsidR="00EE5347">
        <w:t xml:space="preserve"> ISSUE NO. 5</w:t>
      </w:r>
      <w:r w:rsidR="00EE5347" w:rsidRPr="00EE5347">
        <w:t xml:space="preserve"> </w:t>
      </w:r>
      <w:r w:rsidR="00EE5347" w:rsidRPr="00A646FE">
        <w:t>Are there alternative routes or facilities configurations that would have a less negative impact on landowners? What would be the incremental cost of those routes?</w:t>
      </w:r>
      <w:bookmarkEnd w:id="30"/>
    </w:p>
    <w:p w14:paraId="39A4105C" w14:textId="7D2FB1D6" w:rsidR="00A646FE" w:rsidRDefault="00EE5347" w:rsidP="00285E80">
      <w:pPr>
        <w:tabs>
          <w:tab w:val="left" w:pos="720"/>
          <w:tab w:val="left" w:pos="1080"/>
          <w:tab w:val="left" w:pos="1440"/>
        </w:tabs>
        <w:spacing w:line="480" w:lineRule="auto"/>
        <w:jc w:val="both"/>
        <w:rPr>
          <w:rFonts w:cs="Times New Roman"/>
          <w:szCs w:val="24"/>
        </w:rPr>
      </w:pPr>
      <w:r>
        <w:rPr>
          <w:rFonts w:cs="Times New Roman"/>
          <w:b/>
          <w:bCs/>
          <w:szCs w:val="24"/>
        </w:rPr>
        <w:tab/>
      </w:r>
      <w:r w:rsidR="00E03270">
        <w:rPr>
          <w:rFonts w:cs="Times New Roman"/>
          <w:szCs w:val="24"/>
        </w:rPr>
        <w:t>If a route using Segments 38, 39, and 43 is chosen, moving those segments slightly to the south to avoid the existing homes along the southern border of Anaqua Springs would have a less negative impact.  There are no homes south of the southern border of Anaqua Springs for a great distance, and the line could still parallel the property line.</w:t>
      </w:r>
      <w:r w:rsidR="003E758C">
        <w:rPr>
          <w:rFonts w:cs="Times New Roman"/>
          <w:szCs w:val="24"/>
        </w:rPr>
        <w:t xml:space="preserve"> The cost of making these adjustments is </w:t>
      </w:r>
      <w:r w:rsidR="003E758C">
        <w:rPr>
          <w:rFonts w:cs="Times New Roman"/>
          <w:szCs w:val="24"/>
        </w:rPr>
        <w:lastRenderedPageBreak/>
        <w:t>unknown because CPS</w:t>
      </w:r>
      <w:r w:rsidR="005F65A0">
        <w:rPr>
          <w:rFonts w:cs="Times New Roman"/>
          <w:szCs w:val="24"/>
        </w:rPr>
        <w:t xml:space="preserve"> Energy</w:t>
      </w:r>
      <w:r w:rsidR="003E758C">
        <w:rPr>
          <w:rFonts w:cs="Times New Roman"/>
          <w:szCs w:val="24"/>
        </w:rPr>
        <w:t xml:space="preserve"> has provided no data.  However, shifting the line less than 100 feet is unlikely to incur substantial costs.</w:t>
      </w:r>
    </w:p>
    <w:p w14:paraId="74B5B516" w14:textId="4E93D1D2" w:rsidR="00416BD7" w:rsidRPr="001B7E60" w:rsidRDefault="00416BD7" w:rsidP="009E5BEB">
      <w:pPr>
        <w:pStyle w:val="CROutline1"/>
        <w:ind w:left="720"/>
      </w:pPr>
      <w:bookmarkStart w:id="31" w:name="_Toc72496224"/>
      <w:r w:rsidRPr="001B7E60">
        <w:t>CONCLUSION</w:t>
      </w:r>
      <w:bookmarkEnd w:id="31"/>
    </w:p>
    <w:p w14:paraId="4486A161" w14:textId="29C64AF1" w:rsidR="00A747AB" w:rsidRDefault="00A747AB" w:rsidP="00285E80">
      <w:pPr>
        <w:tabs>
          <w:tab w:val="left" w:pos="720"/>
          <w:tab w:val="left" w:pos="1080"/>
          <w:tab w:val="left" w:pos="1440"/>
        </w:tabs>
        <w:spacing w:after="0" w:line="480" w:lineRule="auto"/>
        <w:jc w:val="both"/>
        <w:rPr>
          <w:rFonts w:cs="Times New Roman"/>
          <w:szCs w:val="24"/>
        </w:rPr>
      </w:pPr>
      <w:r>
        <w:rPr>
          <w:rFonts w:cs="Times New Roman"/>
          <w:szCs w:val="24"/>
        </w:rPr>
        <w:tab/>
        <w:t xml:space="preserve">For the foregoing reasons, Anaqua Springs HOA respectfully requests that the ALJs issue a proposal for decision that recommends the Commission </w:t>
      </w:r>
      <w:r w:rsidR="00AA1B8A">
        <w:rPr>
          <w:rFonts w:cs="Times New Roman"/>
          <w:szCs w:val="24"/>
        </w:rPr>
        <w:t xml:space="preserve">first and foremost </w:t>
      </w:r>
      <w:r>
        <w:rPr>
          <w:rFonts w:cs="Times New Roman"/>
          <w:szCs w:val="24"/>
        </w:rPr>
        <w:t xml:space="preserve">adopt a route that does not run along Toutant.  </w:t>
      </w:r>
      <w:r w:rsidR="00AA1B8A">
        <w:rPr>
          <w:rFonts w:cs="Times New Roman"/>
          <w:szCs w:val="24"/>
        </w:rPr>
        <w:t xml:space="preserve">Anaqua Springs </w:t>
      </w:r>
      <w:r w:rsidR="00963A56">
        <w:rPr>
          <w:rFonts w:cs="Times New Roman"/>
          <w:szCs w:val="24"/>
        </w:rPr>
        <w:t xml:space="preserve">HOA </w:t>
      </w:r>
      <w:r w:rsidR="00AA1B8A">
        <w:rPr>
          <w:rFonts w:cs="Times New Roman"/>
          <w:szCs w:val="24"/>
        </w:rPr>
        <w:t>supports Route W.  Route W is the least expensive of the southern routes.  It ties for the lowest amount of modeled golden cheek warbler habitat</w:t>
      </w:r>
      <w:r w:rsidR="00963A56">
        <w:rPr>
          <w:rFonts w:cs="Times New Roman"/>
          <w:szCs w:val="24"/>
        </w:rPr>
        <w:t xml:space="preserve"> among all routes</w:t>
      </w:r>
      <w:r w:rsidR="00AA1B8A">
        <w:rPr>
          <w:rFonts w:cs="Times New Roman"/>
          <w:szCs w:val="24"/>
        </w:rPr>
        <w:t>.  There is no evidence that Route W was developed with incomplete or inaccurate data, u</w:t>
      </w:r>
      <w:r w:rsidR="00963A56">
        <w:rPr>
          <w:rFonts w:cs="Times New Roman"/>
          <w:szCs w:val="24"/>
        </w:rPr>
        <w:t>nlike</w:t>
      </w:r>
      <w:r w:rsidR="00AA1B8A">
        <w:rPr>
          <w:rFonts w:cs="Times New Roman"/>
          <w:szCs w:val="24"/>
        </w:rPr>
        <w:t xml:space="preserve"> the routes along Toutant or the central routes that utilize Segments 38, 39, and 43</w:t>
      </w:r>
      <w:r w:rsidR="003A65A3">
        <w:rPr>
          <w:rFonts w:cs="Times New Roman"/>
          <w:szCs w:val="24"/>
        </w:rPr>
        <w:t>.</w:t>
      </w:r>
      <w:r w:rsidR="000E0611">
        <w:rPr>
          <w:rFonts w:cs="Times New Roman"/>
          <w:szCs w:val="24"/>
        </w:rPr>
        <w:t xml:space="preserve">  </w:t>
      </w:r>
    </w:p>
    <w:p w14:paraId="44A751A6" w14:textId="77777777" w:rsidR="00A66AC9" w:rsidRPr="00A66AC9" w:rsidRDefault="00A66AC9" w:rsidP="00A66AC9">
      <w:pPr>
        <w:spacing w:after="0" w:line="240" w:lineRule="auto"/>
        <w:ind w:left="4680"/>
        <w:rPr>
          <w:rFonts w:cs="Times New Roman"/>
          <w:szCs w:val="24"/>
        </w:rPr>
      </w:pPr>
      <w:r w:rsidRPr="00A66AC9">
        <w:rPr>
          <w:rFonts w:cs="Times New Roman"/>
          <w:szCs w:val="24"/>
        </w:rPr>
        <w:t>Respectfully submitted,</w:t>
      </w:r>
    </w:p>
    <w:p w14:paraId="61F42E43" w14:textId="77777777" w:rsidR="00A66AC9" w:rsidRPr="00A66AC9" w:rsidRDefault="00A66AC9" w:rsidP="00A66AC9">
      <w:pPr>
        <w:spacing w:after="0" w:line="240" w:lineRule="auto"/>
        <w:ind w:left="4680"/>
        <w:rPr>
          <w:rFonts w:cs="Times New Roman"/>
          <w:szCs w:val="24"/>
        </w:rPr>
      </w:pPr>
    </w:p>
    <w:p w14:paraId="6F9F9BD3" w14:textId="77777777" w:rsidR="00A66AC9" w:rsidRPr="00A66AC9" w:rsidRDefault="00A66AC9" w:rsidP="00A66AC9">
      <w:pPr>
        <w:spacing w:after="0" w:line="240" w:lineRule="auto"/>
        <w:ind w:left="4680"/>
        <w:rPr>
          <w:rFonts w:cs="Times New Roman"/>
          <w:szCs w:val="24"/>
        </w:rPr>
      </w:pPr>
    </w:p>
    <w:p w14:paraId="5929E589" w14:textId="77777777" w:rsidR="00A66AC9" w:rsidRPr="00A66AC9" w:rsidRDefault="00A66AC9" w:rsidP="00A66AC9">
      <w:pPr>
        <w:spacing w:after="0" w:line="240" w:lineRule="auto"/>
        <w:ind w:left="4680"/>
        <w:rPr>
          <w:rFonts w:cs="Times New Roman"/>
          <w:szCs w:val="24"/>
        </w:rPr>
      </w:pPr>
    </w:p>
    <w:p w14:paraId="3757AA96" w14:textId="77777777" w:rsidR="00A66AC9" w:rsidRPr="00A66AC9" w:rsidRDefault="00A66AC9" w:rsidP="00A66AC9">
      <w:pPr>
        <w:spacing w:after="0" w:line="240" w:lineRule="auto"/>
        <w:ind w:left="4680"/>
        <w:rPr>
          <w:rFonts w:cs="Times New Roman"/>
          <w:szCs w:val="24"/>
        </w:rPr>
      </w:pPr>
      <w:bookmarkStart w:id="32" w:name="_Hlk56915156"/>
      <w:r w:rsidRPr="00A66AC9">
        <w:rPr>
          <w:rFonts w:cs="Times New Roman"/>
          <w:szCs w:val="24"/>
        </w:rPr>
        <w:t>By:</w:t>
      </w:r>
      <w:r w:rsidRPr="00A66AC9">
        <w:rPr>
          <w:rFonts w:cs="Times New Roman"/>
          <w:szCs w:val="24"/>
        </w:rPr>
        <w:tab/>
        <w:t>__________________________________</w:t>
      </w:r>
      <w:bookmarkEnd w:id="32"/>
    </w:p>
    <w:p w14:paraId="393812F6"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Ann M. Coffin</w:t>
      </w:r>
    </w:p>
    <w:p w14:paraId="373C325F"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State Bar No. 00787941</w:t>
      </w:r>
    </w:p>
    <w:p w14:paraId="1B653989"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 xml:space="preserve">Wendy K. L. Harvel </w:t>
      </w:r>
    </w:p>
    <w:p w14:paraId="155CFA24"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State Bar No. 00796719</w:t>
      </w:r>
    </w:p>
    <w:p w14:paraId="2AF4E17D"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bCs/>
          <w:szCs w:val="24"/>
        </w:rPr>
        <w:t>C. Glenn Adkins</w:t>
      </w:r>
    </w:p>
    <w:p w14:paraId="0F7B4AE9" w14:textId="77777777" w:rsidR="00A66AC9" w:rsidRPr="00A66AC9" w:rsidRDefault="00A66AC9" w:rsidP="00A66AC9">
      <w:pPr>
        <w:tabs>
          <w:tab w:val="left" w:pos="630"/>
        </w:tabs>
        <w:spacing w:after="0" w:line="240" w:lineRule="auto"/>
        <w:ind w:left="-18" w:firstLine="4968"/>
        <w:rPr>
          <w:rFonts w:cs="Times New Roman"/>
          <w:bCs/>
          <w:szCs w:val="24"/>
        </w:rPr>
      </w:pPr>
      <w:r w:rsidRPr="00A66AC9">
        <w:rPr>
          <w:rFonts w:cs="Times New Roman"/>
          <w:bCs/>
          <w:szCs w:val="24"/>
        </w:rPr>
        <w:t xml:space="preserve">State Bar No. </w:t>
      </w:r>
      <w:r w:rsidRPr="00A66AC9">
        <w:rPr>
          <w:rFonts w:eastAsia="Times New Roman" w:cs="Times New Roman"/>
          <w:bCs/>
          <w:szCs w:val="24"/>
        </w:rPr>
        <w:t>24103097</w:t>
      </w:r>
    </w:p>
    <w:p w14:paraId="07F57F99" w14:textId="77777777" w:rsidR="00A66AC9" w:rsidRPr="00A66AC9" w:rsidRDefault="00A66AC9" w:rsidP="00A66AC9">
      <w:pPr>
        <w:tabs>
          <w:tab w:val="left" w:pos="630"/>
        </w:tabs>
        <w:spacing w:after="0" w:line="240" w:lineRule="auto"/>
        <w:ind w:left="-18" w:firstLine="4968"/>
        <w:rPr>
          <w:rFonts w:cs="Times New Roman"/>
          <w:bCs/>
          <w:szCs w:val="24"/>
        </w:rPr>
      </w:pPr>
      <w:r w:rsidRPr="00A66AC9">
        <w:rPr>
          <w:rFonts w:cs="Times New Roman"/>
          <w:szCs w:val="24"/>
        </w:rPr>
        <w:t>Coffin Renner LLP</w:t>
      </w:r>
    </w:p>
    <w:p w14:paraId="702CD7D6" w14:textId="77777777" w:rsidR="00A66AC9" w:rsidRPr="00A66AC9" w:rsidRDefault="00A66AC9" w:rsidP="00A66AC9">
      <w:pPr>
        <w:tabs>
          <w:tab w:val="left" w:pos="630"/>
        </w:tabs>
        <w:spacing w:after="0" w:line="240" w:lineRule="auto"/>
        <w:ind w:left="-18" w:firstLine="4968"/>
        <w:rPr>
          <w:rFonts w:cs="Times New Roman"/>
          <w:bCs/>
          <w:szCs w:val="24"/>
        </w:rPr>
      </w:pPr>
      <w:r w:rsidRPr="00A66AC9">
        <w:rPr>
          <w:rFonts w:cs="Times New Roman"/>
          <w:szCs w:val="24"/>
        </w:rPr>
        <w:t>1011 West 31</w:t>
      </w:r>
      <w:r w:rsidRPr="00A66AC9">
        <w:rPr>
          <w:rFonts w:cs="Times New Roman"/>
          <w:szCs w:val="24"/>
          <w:vertAlign w:val="superscript"/>
        </w:rPr>
        <w:t>st</w:t>
      </w:r>
      <w:r w:rsidRPr="00A66AC9">
        <w:rPr>
          <w:rFonts w:cs="Times New Roman"/>
          <w:szCs w:val="24"/>
        </w:rPr>
        <w:t xml:space="preserve"> Street</w:t>
      </w:r>
    </w:p>
    <w:p w14:paraId="036122FC" w14:textId="77777777" w:rsidR="00A66AC9" w:rsidRPr="00A66AC9" w:rsidRDefault="00A66AC9" w:rsidP="00A66AC9">
      <w:pPr>
        <w:tabs>
          <w:tab w:val="left" w:pos="630"/>
        </w:tabs>
        <w:spacing w:after="0" w:line="240" w:lineRule="auto"/>
        <w:ind w:left="-18" w:firstLine="4968"/>
        <w:rPr>
          <w:rFonts w:cs="Times New Roman"/>
          <w:bCs/>
          <w:szCs w:val="24"/>
        </w:rPr>
      </w:pPr>
      <w:r w:rsidRPr="00A66AC9">
        <w:rPr>
          <w:rFonts w:cs="Times New Roman"/>
          <w:szCs w:val="24"/>
        </w:rPr>
        <w:t>Austin, TX 78705</w:t>
      </w:r>
    </w:p>
    <w:p w14:paraId="4087C2F0" w14:textId="77777777" w:rsidR="00A66AC9" w:rsidRPr="00A66AC9" w:rsidRDefault="00A66AC9" w:rsidP="00A66AC9">
      <w:pPr>
        <w:tabs>
          <w:tab w:val="left" w:pos="630"/>
        </w:tabs>
        <w:spacing w:after="0" w:line="240" w:lineRule="auto"/>
        <w:ind w:left="-18" w:firstLine="4968"/>
        <w:rPr>
          <w:rFonts w:cs="Times New Roman"/>
          <w:bCs/>
          <w:szCs w:val="24"/>
        </w:rPr>
      </w:pPr>
      <w:r w:rsidRPr="00A66AC9">
        <w:rPr>
          <w:rFonts w:cs="Times New Roman"/>
          <w:szCs w:val="24"/>
        </w:rPr>
        <w:t>(512) 879-0900</w:t>
      </w:r>
    </w:p>
    <w:p w14:paraId="334E3D2A"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(512) 879-0912 (fax)</w:t>
      </w:r>
    </w:p>
    <w:p w14:paraId="5B8D5524" w14:textId="77777777" w:rsidR="00A66AC9" w:rsidRPr="00A66AC9" w:rsidRDefault="00A66AC9" w:rsidP="00A66AC9">
      <w:pPr>
        <w:tabs>
          <w:tab w:val="left" w:pos="630"/>
        </w:tabs>
        <w:spacing w:after="0" w:line="240" w:lineRule="auto"/>
        <w:ind w:left="-18" w:firstLine="4968"/>
        <w:rPr>
          <w:rFonts w:cs="Times New Roman"/>
          <w:szCs w:val="24"/>
        </w:rPr>
      </w:pPr>
      <w:r w:rsidRPr="00A66AC9">
        <w:rPr>
          <w:rFonts w:cs="Times New Roman"/>
          <w:szCs w:val="24"/>
        </w:rPr>
        <w:t>ann.coffin@crtxlaw.com</w:t>
      </w:r>
    </w:p>
    <w:p w14:paraId="58081A99" w14:textId="77777777" w:rsidR="00A66AC9" w:rsidRPr="00A66AC9" w:rsidRDefault="00A66AC9" w:rsidP="00A66AC9">
      <w:pPr>
        <w:tabs>
          <w:tab w:val="left" w:pos="8760"/>
        </w:tabs>
        <w:spacing w:after="0" w:line="240" w:lineRule="auto"/>
        <w:ind w:firstLine="4968"/>
        <w:rPr>
          <w:rFonts w:cs="Times New Roman"/>
          <w:szCs w:val="24"/>
        </w:rPr>
      </w:pPr>
      <w:r w:rsidRPr="00A66AC9">
        <w:rPr>
          <w:rFonts w:cs="Times New Roman"/>
          <w:szCs w:val="24"/>
        </w:rPr>
        <w:t>wendy.harvel@crtxlaw.com</w:t>
      </w:r>
    </w:p>
    <w:p w14:paraId="49F1353A" w14:textId="77777777" w:rsidR="00A66AC9" w:rsidRPr="00A66AC9" w:rsidRDefault="00A66AC9" w:rsidP="00A66AC9">
      <w:pPr>
        <w:tabs>
          <w:tab w:val="left" w:pos="8760"/>
        </w:tabs>
        <w:spacing w:after="0" w:line="240" w:lineRule="auto"/>
        <w:ind w:firstLine="4968"/>
        <w:rPr>
          <w:rFonts w:cs="Times New Roman"/>
          <w:szCs w:val="24"/>
        </w:rPr>
      </w:pPr>
      <w:r w:rsidRPr="00A66AC9">
        <w:rPr>
          <w:rFonts w:cs="Times New Roman"/>
          <w:szCs w:val="24"/>
        </w:rPr>
        <w:t>glenn.adkins@crtxlaw.com</w:t>
      </w:r>
    </w:p>
    <w:p w14:paraId="4593BD26" w14:textId="77777777" w:rsidR="00A66AC9" w:rsidRPr="00A66AC9" w:rsidRDefault="00A66AC9" w:rsidP="00A66AC9">
      <w:pPr>
        <w:tabs>
          <w:tab w:val="left" w:pos="8760"/>
        </w:tabs>
        <w:spacing w:after="0" w:line="240" w:lineRule="auto"/>
        <w:ind w:firstLine="4968"/>
        <w:rPr>
          <w:rFonts w:cs="Times New Roman"/>
          <w:szCs w:val="24"/>
        </w:rPr>
      </w:pPr>
    </w:p>
    <w:p w14:paraId="4FCC34CB" w14:textId="77777777" w:rsidR="00A66AC9" w:rsidRPr="00A66AC9" w:rsidRDefault="00A66AC9" w:rsidP="00A66AC9">
      <w:pPr>
        <w:tabs>
          <w:tab w:val="left" w:pos="8760"/>
        </w:tabs>
        <w:spacing w:after="0" w:line="240" w:lineRule="auto"/>
        <w:ind w:left="4680"/>
        <w:rPr>
          <w:rFonts w:cs="Times New Roman"/>
          <w:b/>
          <w:szCs w:val="24"/>
        </w:rPr>
      </w:pPr>
      <w:r w:rsidRPr="00A66AC9">
        <w:rPr>
          <w:rFonts w:cs="Times New Roman"/>
          <w:b/>
          <w:szCs w:val="24"/>
        </w:rPr>
        <w:t>ATTORNEYS FOR ANAQUA SPRINGS HOMEOWNERS’ ASSOCIATION</w:t>
      </w:r>
    </w:p>
    <w:p w14:paraId="68122F5A" w14:textId="77777777" w:rsidR="00A66AC9" w:rsidRPr="00A66AC9" w:rsidRDefault="00A66AC9" w:rsidP="00A66AC9">
      <w:pPr>
        <w:tabs>
          <w:tab w:val="left" w:pos="8760"/>
        </w:tabs>
        <w:spacing w:after="0" w:line="240" w:lineRule="auto"/>
        <w:ind w:left="4680"/>
        <w:rPr>
          <w:rFonts w:cs="Times New Roman"/>
          <w:b/>
          <w:szCs w:val="24"/>
        </w:rPr>
      </w:pPr>
    </w:p>
    <w:p w14:paraId="2D6CBCAB" w14:textId="19C6B32B" w:rsidR="003E6F08" w:rsidRDefault="003E6F08">
      <w:pPr>
        <w:rPr>
          <w:rFonts w:cs="Times New Roman"/>
          <w:szCs w:val="24"/>
        </w:rPr>
      </w:pPr>
      <w:r>
        <w:rPr>
          <w:rFonts w:cs="Times New Roman"/>
          <w:szCs w:val="24"/>
        </w:rPr>
        <w:br w:type="page"/>
      </w:r>
    </w:p>
    <w:p w14:paraId="76D44259" w14:textId="77777777" w:rsidR="00A66AC9" w:rsidRPr="00A66AC9" w:rsidRDefault="00A66AC9" w:rsidP="00A66AC9">
      <w:pPr>
        <w:spacing w:after="0" w:line="240" w:lineRule="auto"/>
        <w:rPr>
          <w:rFonts w:cs="Times New Roman"/>
          <w:szCs w:val="24"/>
        </w:rPr>
      </w:pPr>
    </w:p>
    <w:p w14:paraId="3F8EC3DD" w14:textId="77777777" w:rsidR="00A66AC9" w:rsidRPr="00A66AC9" w:rsidRDefault="00A66AC9" w:rsidP="00A66AC9">
      <w:pPr>
        <w:spacing w:after="0" w:line="240" w:lineRule="auto"/>
        <w:jc w:val="center"/>
        <w:rPr>
          <w:rFonts w:cs="Times New Roman"/>
          <w:b/>
          <w:bCs/>
          <w:szCs w:val="24"/>
          <w:u w:val="single"/>
        </w:rPr>
      </w:pPr>
      <w:r w:rsidRPr="00A66AC9">
        <w:rPr>
          <w:rFonts w:cs="Times New Roman"/>
          <w:b/>
          <w:bCs/>
          <w:szCs w:val="24"/>
          <w:u w:val="single"/>
        </w:rPr>
        <w:t>CERTIFICATE OF SERVICE</w:t>
      </w:r>
    </w:p>
    <w:p w14:paraId="62FCC3A9" w14:textId="77777777" w:rsidR="00A66AC9" w:rsidRPr="00A66AC9" w:rsidRDefault="00A66AC9" w:rsidP="00A66AC9">
      <w:pPr>
        <w:spacing w:after="0" w:line="240" w:lineRule="auto"/>
        <w:rPr>
          <w:rFonts w:cs="Times New Roman"/>
          <w:szCs w:val="24"/>
        </w:rPr>
      </w:pPr>
    </w:p>
    <w:p w14:paraId="15EB0416" w14:textId="3AE96F0B" w:rsidR="00A66AC9" w:rsidRDefault="00A66AC9" w:rsidP="00134B94">
      <w:pPr>
        <w:spacing w:after="0" w:line="240" w:lineRule="auto"/>
        <w:jc w:val="both"/>
        <w:rPr>
          <w:rFonts w:cs="Times New Roman"/>
          <w:szCs w:val="24"/>
        </w:rPr>
      </w:pPr>
      <w:r w:rsidRPr="00A66AC9">
        <w:rPr>
          <w:rFonts w:cs="Times New Roman"/>
          <w:szCs w:val="24"/>
        </w:rPr>
        <w:tab/>
        <w:t>I hereby certify that a true and correct copy of the foregoing has been filed with the Commission and served on all other parties via the PUC Interchange on this 2</w:t>
      </w:r>
      <w:r>
        <w:rPr>
          <w:rFonts w:cs="Times New Roman"/>
          <w:szCs w:val="24"/>
        </w:rPr>
        <w:t>1</w:t>
      </w:r>
      <w:r w:rsidRPr="00A66AC9">
        <w:rPr>
          <w:rFonts w:cs="Times New Roman"/>
          <w:szCs w:val="24"/>
          <w:vertAlign w:val="superscript"/>
        </w:rPr>
        <w:t>st</w:t>
      </w:r>
      <w:r>
        <w:rPr>
          <w:rFonts w:cs="Times New Roman"/>
          <w:szCs w:val="24"/>
        </w:rPr>
        <w:t xml:space="preserve"> </w:t>
      </w:r>
      <w:r w:rsidRPr="00A66AC9">
        <w:rPr>
          <w:rFonts w:cs="Times New Roman"/>
          <w:szCs w:val="24"/>
        </w:rPr>
        <w:t xml:space="preserve">day of </w:t>
      </w:r>
      <w:r>
        <w:rPr>
          <w:rFonts w:cs="Times New Roman"/>
          <w:szCs w:val="24"/>
        </w:rPr>
        <w:t>May</w:t>
      </w:r>
      <w:r w:rsidRPr="00A66AC9">
        <w:rPr>
          <w:rFonts w:cs="Times New Roman"/>
          <w:szCs w:val="24"/>
        </w:rPr>
        <w:t xml:space="preserve"> 2021, pursuant to SOAH Order No. 3 issued in this docket. </w:t>
      </w:r>
    </w:p>
    <w:p w14:paraId="2855C799" w14:textId="77777777" w:rsidR="009E5BEB" w:rsidRPr="00A66AC9" w:rsidRDefault="009E5BEB" w:rsidP="00134B94">
      <w:pPr>
        <w:spacing w:after="0" w:line="240" w:lineRule="auto"/>
        <w:jc w:val="both"/>
        <w:rPr>
          <w:rFonts w:cs="Times New Roman"/>
          <w:szCs w:val="24"/>
        </w:rPr>
      </w:pPr>
    </w:p>
    <w:p w14:paraId="740883B9" w14:textId="77777777" w:rsidR="00A66AC9" w:rsidRPr="00A66AC9" w:rsidRDefault="00A66AC9" w:rsidP="00A66AC9">
      <w:pPr>
        <w:spacing w:after="0" w:line="240" w:lineRule="auto"/>
        <w:rPr>
          <w:rFonts w:cs="Times New Roman"/>
          <w:szCs w:val="24"/>
        </w:rPr>
      </w:pP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t>________________________________</w:t>
      </w:r>
    </w:p>
    <w:p w14:paraId="05B25835" w14:textId="77777777" w:rsidR="00A66AC9" w:rsidRPr="00A66AC9" w:rsidRDefault="00A66AC9" w:rsidP="00A66AC9">
      <w:pPr>
        <w:spacing w:after="0" w:line="240" w:lineRule="auto"/>
        <w:rPr>
          <w:rFonts w:cs="Times New Roman"/>
          <w:szCs w:val="24"/>
        </w:rPr>
      </w:pP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r>
      <w:r w:rsidRPr="00A66AC9">
        <w:rPr>
          <w:rFonts w:cs="Times New Roman"/>
          <w:szCs w:val="24"/>
        </w:rPr>
        <w:tab/>
        <w:t>Wendy K. L. Harvel</w:t>
      </w:r>
    </w:p>
    <w:p w14:paraId="021BD728" w14:textId="77777777" w:rsidR="00A66AC9" w:rsidRPr="00251BB0" w:rsidRDefault="00A66AC9" w:rsidP="000D6919">
      <w:pPr>
        <w:tabs>
          <w:tab w:val="left" w:pos="360"/>
          <w:tab w:val="left" w:pos="720"/>
          <w:tab w:val="left" w:pos="1080"/>
          <w:tab w:val="left" w:pos="1440"/>
        </w:tabs>
        <w:spacing w:after="0" w:line="480" w:lineRule="auto"/>
        <w:jc w:val="both"/>
        <w:rPr>
          <w:rFonts w:cs="Times New Roman"/>
          <w:szCs w:val="24"/>
        </w:rPr>
      </w:pPr>
    </w:p>
    <w:sectPr w:rsidR="00A66AC9" w:rsidRPr="00251BB0">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22989" w14:textId="77777777" w:rsidR="00F80319" w:rsidRDefault="00F80319" w:rsidP="00F80319">
      <w:pPr>
        <w:spacing w:after="0" w:line="240" w:lineRule="auto"/>
      </w:pPr>
      <w:r>
        <w:separator/>
      </w:r>
    </w:p>
  </w:endnote>
  <w:endnote w:type="continuationSeparator" w:id="0">
    <w:p w14:paraId="3C116942" w14:textId="77777777" w:rsidR="00F80319" w:rsidRDefault="00F80319" w:rsidP="00F803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044E0" w14:textId="79EF306F" w:rsidR="00974F88" w:rsidRDefault="00974F88" w:rsidP="00765D4A">
    <w:pPr>
      <w:pStyle w:val="Footer"/>
      <w:jc w:val="center"/>
    </w:pP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C0CB8" w14:textId="77777777" w:rsidR="00F80319" w:rsidRDefault="00F80319" w:rsidP="00F80319">
      <w:pPr>
        <w:spacing w:after="0" w:line="240" w:lineRule="auto"/>
      </w:pPr>
      <w:r>
        <w:separator/>
      </w:r>
    </w:p>
  </w:footnote>
  <w:footnote w:type="continuationSeparator" w:id="0">
    <w:p w14:paraId="5E802B38" w14:textId="77777777" w:rsidR="00F80319" w:rsidRDefault="00F80319" w:rsidP="00F80319">
      <w:pPr>
        <w:spacing w:after="0" w:line="240" w:lineRule="auto"/>
      </w:pPr>
      <w:r>
        <w:continuationSeparator/>
      </w:r>
    </w:p>
  </w:footnote>
  <w:footnote w:id="1">
    <w:p w14:paraId="73D581E9" w14:textId="20F9FAB8" w:rsidR="000E3EFE" w:rsidRDefault="000E3EFE">
      <w:pPr>
        <w:pStyle w:val="FootnoteText"/>
      </w:pPr>
      <w:r>
        <w:rPr>
          <w:rStyle w:val="FootnoteReference"/>
        </w:rPr>
        <w:footnoteRef/>
      </w:r>
      <w:r>
        <w:t xml:space="preserve"> Anaqua Springs HOA is not addressing all of the preliminary order issues in this brief.  Anaqua Springs HOA’s silence on any issue should not be read as agreement with the position of any other party in this case.  Further, Anaqua Springs HOA reserves the right to reply to any issues raised by other parties in their initial briefs.</w:t>
      </w:r>
    </w:p>
  </w:footnote>
  <w:footnote w:id="2">
    <w:p w14:paraId="443B33B4" w14:textId="3A798AD0" w:rsidR="00A06BB1" w:rsidRDefault="00A06BB1" w:rsidP="00A06BB1">
      <w:pPr>
        <w:pStyle w:val="FootnoteText"/>
      </w:pPr>
      <w:r>
        <w:rPr>
          <w:rStyle w:val="FootnoteReference"/>
        </w:rPr>
        <w:footnoteRef/>
      </w:r>
      <w:r>
        <w:t xml:space="preserve"> </w:t>
      </w:r>
      <w:r w:rsidR="00D517B0" w:rsidRPr="00D517B0">
        <w:rPr>
          <w:i/>
          <w:iCs/>
        </w:rPr>
        <w:t>See</w:t>
      </w:r>
      <w:r w:rsidR="00D517B0">
        <w:t xml:space="preserve"> </w:t>
      </w:r>
      <w:r>
        <w:t>CPS Energy Ex. 15, Rebuttal Testimony of Lisa Meaux at Amended Figure 4-1R (Meaux Rebuttal).</w:t>
      </w:r>
      <w:r w:rsidR="00D517B0">
        <w:t xml:space="preserve"> Mr. Figueroa’s home is </w:t>
      </w:r>
      <w:r w:rsidR="00B94036">
        <w:t>habitable</w:t>
      </w:r>
      <w:r w:rsidR="00D517B0">
        <w:t xml:space="preserve"> structure 1</w:t>
      </w:r>
      <w:r w:rsidR="00FD44AD">
        <w:t>6</w:t>
      </w:r>
      <w:r w:rsidR="00D517B0">
        <w:t>.</w:t>
      </w:r>
    </w:p>
  </w:footnote>
  <w:footnote w:id="3">
    <w:p w14:paraId="2E3B5EF4" w14:textId="6F869117" w:rsidR="00A06BB1" w:rsidRDefault="00A06BB1" w:rsidP="00A06BB1">
      <w:pPr>
        <w:pStyle w:val="FootnoteText"/>
      </w:pPr>
      <w:r>
        <w:rPr>
          <w:rStyle w:val="FootnoteReference"/>
        </w:rPr>
        <w:footnoteRef/>
      </w:r>
      <w:r>
        <w:t xml:space="preserve"> Tr. at 570:7-14 </w:t>
      </w:r>
      <w:r w:rsidR="006D2C08">
        <w:t xml:space="preserve">(CPS Panel Cross) </w:t>
      </w:r>
      <w:r>
        <w:t>(May 4, 2021).</w:t>
      </w:r>
    </w:p>
  </w:footnote>
  <w:footnote w:id="4">
    <w:p w14:paraId="47EA65FE" w14:textId="61D2CDB0" w:rsidR="00E62731" w:rsidRDefault="00E62731">
      <w:pPr>
        <w:pStyle w:val="FootnoteText"/>
      </w:pPr>
      <w:r>
        <w:rPr>
          <w:rStyle w:val="FootnoteReference"/>
        </w:rPr>
        <w:footnoteRef/>
      </w:r>
      <w:r>
        <w:t xml:space="preserve"> </w:t>
      </w:r>
      <w:r w:rsidR="00EC3961">
        <w:t xml:space="preserve">CPS Energy </w:t>
      </w:r>
      <w:r w:rsidR="00EF5195">
        <w:t>Ex</w:t>
      </w:r>
      <w:r w:rsidR="00EC3961">
        <w:t xml:space="preserve">. 6, </w:t>
      </w:r>
      <w:r>
        <w:t xml:space="preserve">Amended Application, </w:t>
      </w:r>
      <w:r w:rsidR="00011F9E">
        <w:t xml:space="preserve">Amended Environmental Assessment, </w:t>
      </w:r>
      <w:r w:rsidR="00EC3961">
        <w:t>F</w:t>
      </w:r>
      <w:r>
        <w:t>igure 2-4</w:t>
      </w:r>
      <w:r w:rsidR="00011F9E">
        <w:t xml:space="preserve"> (Amended </w:t>
      </w:r>
      <w:r w:rsidR="00E153C9">
        <w:t>Application</w:t>
      </w:r>
      <w:r w:rsidR="00011F9E">
        <w:t>)</w:t>
      </w:r>
      <w:r>
        <w:t>.</w:t>
      </w:r>
    </w:p>
  </w:footnote>
  <w:footnote w:id="5">
    <w:p w14:paraId="4D1A3252" w14:textId="5FC20D4A" w:rsidR="004B78E3" w:rsidRDefault="004B78E3">
      <w:pPr>
        <w:pStyle w:val="FootnoteText"/>
      </w:pPr>
      <w:r>
        <w:rPr>
          <w:rStyle w:val="FootnoteReference"/>
        </w:rPr>
        <w:footnoteRef/>
      </w:r>
      <w:r>
        <w:t xml:space="preserve"> Tr. </w:t>
      </w:r>
      <w:r w:rsidR="00AF29E5">
        <w:t>at</w:t>
      </w:r>
      <w:r>
        <w:t xml:space="preserve"> 360:16-2</w:t>
      </w:r>
      <w:r w:rsidR="00AF29E5">
        <w:t>2</w:t>
      </w:r>
      <w:r w:rsidR="006D2C08">
        <w:t xml:space="preserve"> (CPS Panel Cross) </w:t>
      </w:r>
      <w:r w:rsidR="00AF29E5">
        <w:t>(May 4, 2021)</w:t>
      </w:r>
      <w:r w:rsidR="006D2C08">
        <w:t>.</w:t>
      </w:r>
    </w:p>
  </w:footnote>
  <w:footnote w:id="6">
    <w:p w14:paraId="60051F00" w14:textId="61816F5E" w:rsidR="00C5246F" w:rsidRDefault="00C5246F">
      <w:pPr>
        <w:pStyle w:val="FootnoteText"/>
      </w:pPr>
      <w:r>
        <w:rPr>
          <w:rStyle w:val="FootnoteReference"/>
        </w:rPr>
        <w:footnoteRef/>
      </w:r>
      <w:r>
        <w:t xml:space="preserve"> </w:t>
      </w:r>
      <w:r w:rsidR="006D2C08">
        <w:rPr>
          <w:i/>
          <w:iCs/>
        </w:rPr>
        <w:t>Id.</w:t>
      </w:r>
      <w:r w:rsidR="00AF29E5">
        <w:t xml:space="preserve"> at</w:t>
      </w:r>
      <w:r>
        <w:t xml:space="preserve"> 360</w:t>
      </w:r>
      <w:r w:rsidR="00E64387">
        <w:t>:</w:t>
      </w:r>
      <w:r>
        <w:t>12-15</w:t>
      </w:r>
      <w:r w:rsidR="006D2C08">
        <w:t xml:space="preserve"> </w:t>
      </w:r>
    </w:p>
  </w:footnote>
  <w:footnote w:id="7">
    <w:p w14:paraId="14D077D1" w14:textId="7043B47A" w:rsidR="00C824B1" w:rsidRDefault="00C824B1">
      <w:pPr>
        <w:pStyle w:val="FootnoteText"/>
      </w:pPr>
      <w:r>
        <w:rPr>
          <w:rStyle w:val="FootnoteReference"/>
        </w:rPr>
        <w:footnoteRef/>
      </w:r>
      <w:r>
        <w:t xml:space="preserve"> </w:t>
      </w:r>
      <w:r w:rsidR="007E5905">
        <w:t xml:space="preserve">CPS Energy </w:t>
      </w:r>
      <w:r w:rsidR="00EF5195">
        <w:t>Ex.</w:t>
      </w:r>
      <w:r w:rsidR="007E5905">
        <w:t xml:space="preserve"> 1, </w:t>
      </w:r>
      <w:r w:rsidR="00746D10">
        <w:t xml:space="preserve">Original Application, </w:t>
      </w:r>
      <w:r>
        <w:t>E</w:t>
      </w:r>
      <w:r w:rsidR="007E5905">
        <w:t>nvironmental Assessment</w:t>
      </w:r>
      <w:r w:rsidR="009A4589">
        <w:t xml:space="preserve"> </w:t>
      </w:r>
      <w:r>
        <w:t>at 6-1</w:t>
      </w:r>
      <w:r w:rsidR="009A4589">
        <w:t xml:space="preserve"> (</w:t>
      </w:r>
      <w:r w:rsidR="00081F8B">
        <w:t>Original Application</w:t>
      </w:r>
      <w:r w:rsidR="009A4589">
        <w:t>)</w:t>
      </w:r>
      <w:r>
        <w:t>.</w:t>
      </w:r>
    </w:p>
  </w:footnote>
  <w:footnote w:id="8">
    <w:p w14:paraId="5828AF38" w14:textId="2ED46922" w:rsidR="008A04DA" w:rsidRDefault="008A04DA">
      <w:pPr>
        <w:pStyle w:val="FootnoteText"/>
      </w:pPr>
      <w:r>
        <w:rPr>
          <w:rStyle w:val="FootnoteReference"/>
        </w:rPr>
        <w:footnoteRef/>
      </w:r>
      <w:r>
        <w:t xml:space="preserve"> </w:t>
      </w:r>
      <w:r w:rsidR="007E5905">
        <w:rPr>
          <w:i/>
          <w:iCs/>
        </w:rPr>
        <w:t>Id</w:t>
      </w:r>
      <w:r w:rsidR="007E5905">
        <w:t>., F</w:t>
      </w:r>
      <w:r>
        <w:t>igure 2-2</w:t>
      </w:r>
      <w:r w:rsidR="007E5905">
        <w:t xml:space="preserve"> at 2-7</w:t>
      </w:r>
      <w:r>
        <w:t>.</w:t>
      </w:r>
    </w:p>
  </w:footnote>
  <w:footnote w:id="9">
    <w:p w14:paraId="5AE9CF76" w14:textId="3220DEDA" w:rsidR="00F80319" w:rsidRPr="00334552" w:rsidRDefault="00F80319">
      <w:pPr>
        <w:pStyle w:val="FootnoteText"/>
        <w:rPr>
          <w:rFonts w:cs="Times New Roman"/>
        </w:rPr>
      </w:pPr>
      <w:r w:rsidRPr="00334552">
        <w:rPr>
          <w:rStyle w:val="FootnoteReference"/>
          <w:rFonts w:cs="Times New Roman"/>
        </w:rPr>
        <w:footnoteRef/>
      </w:r>
      <w:r w:rsidRPr="00334552">
        <w:rPr>
          <w:rFonts w:cs="Times New Roman"/>
        </w:rPr>
        <w:t xml:space="preserve"> Although the </w:t>
      </w:r>
      <w:r w:rsidR="009A4589" w:rsidRPr="00334552">
        <w:rPr>
          <w:rFonts w:cs="Times New Roman"/>
        </w:rPr>
        <w:t>C</w:t>
      </w:r>
      <w:r w:rsidR="009A4589">
        <w:rPr>
          <w:rFonts w:cs="Times New Roman"/>
        </w:rPr>
        <w:t>OVID</w:t>
      </w:r>
      <w:r w:rsidRPr="00334552">
        <w:rPr>
          <w:rFonts w:cs="Times New Roman"/>
        </w:rPr>
        <w:t xml:space="preserve">-19 pandemic would have likely eliminated the possibility of </w:t>
      </w:r>
      <w:r w:rsidR="00E04986" w:rsidRPr="00334552">
        <w:rPr>
          <w:rFonts w:cs="Times New Roman"/>
        </w:rPr>
        <w:t>an in-person open house, a virtual open house could have been held.</w:t>
      </w:r>
    </w:p>
  </w:footnote>
  <w:footnote w:id="10">
    <w:p w14:paraId="735ABBD8" w14:textId="387B8C3E" w:rsidR="00E006A0" w:rsidRPr="00334552" w:rsidRDefault="00E006A0">
      <w:pPr>
        <w:pStyle w:val="FootnoteText"/>
        <w:rPr>
          <w:rFonts w:cs="Times New Roman"/>
        </w:rPr>
      </w:pPr>
      <w:r w:rsidRPr="00334552">
        <w:rPr>
          <w:rStyle w:val="FootnoteReference"/>
          <w:rFonts w:cs="Times New Roman"/>
        </w:rPr>
        <w:footnoteRef/>
      </w:r>
      <w:r w:rsidRPr="00334552">
        <w:rPr>
          <w:rFonts w:cs="Times New Roman"/>
        </w:rPr>
        <w:t xml:space="preserve"> </w:t>
      </w:r>
      <w:r w:rsidR="00C46F6A">
        <w:rPr>
          <w:rFonts w:cs="Times New Roman"/>
        </w:rPr>
        <w:t>CPS Energy Ex. 1, Figure 2-3 at 2-11 (</w:t>
      </w:r>
      <w:r w:rsidR="00081F8B">
        <w:rPr>
          <w:rFonts w:cs="Times New Roman"/>
        </w:rPr>
        <w:t>Original Application</w:t>
      </w:r>
      <w:r w:rsidR="00C46F6A">
        <w:rPr>
          <w:rFonts w:cs="Times New Roman"/>
        </w:rPr>
        <w:t>)</w:t>
      </w:r>
      <w:r w:rsidRPr="00334552">
        <w:rPr>
          <w:rFonts w:cs="Times New Roman"/>
        </w:rPr>
        <w:t>.</w:t>
      </w:r>
      <w:r w:rsidR="00E944E1">
        <w:rPr>
          <w:rFonts w:cs="Times New Roman"/>
        </w:rPr>
        <w:t xml:space="preserve">  The segments included in the amended application are shown in </w:t>
      </w:r>
      <w:r w:rsidR="00081F8B">
        <w:rPr>
          <w:rFonts w:cs="Times New Roman"/>
        </w:rPr>
        <w:t>F</w:t>
      </w:r>
      <w:r w:rsidR="00E944E1">
        <w:rPr>
          <w:rFonts w:cs="Times New Roman"/>
        </w:rPr>
        <w:t>igure 2-4.</w:t>
      </w:r>
    </w:p>
  </w:footnote>
  <w:footnote w:id="11">
    <w:p w14:paraId="6939DB50" w14:textId="1BF3C14E" w:rsidR="00837665" w:rsidRDefault="00837665">
      <w:pPr>
        <w:pStyle w:val="FootnoteText"/>
      </w:pPr>
      <w:r w:rsidRPr="00334552">
        <w:rPr>
          <w:rStyle w:val="FootnoteReference"/>
          <w:rFonts w:cs="Times New Roman"/>
        </w:rPr>
        <w:footnoteRef/>
      </w:r>
      <w:r w:rsidRPr="00334552">
        <w:rPr>
          <w:rFonts w:cs="Times New Roman"/>
        </w:rPr>
        <w:t xml:space="preserve"> AS/Jauer </w:t>
      </w:r>
      <w:r w:rsidR="00B7027A">
        <w:rPr>
          <w:rFonts w:cs="Times New Roman"/>
        </w:rPr>
        <w:t>Ex</w:t>
      </w:r>
      <w:r w:rsidRPr="00334552">
        <w:rPr>
          <w:rFonts w:cs="Times New Roman"/>
        </w:rPr>
        <w:t>. 11</w:t>
      </w:r>
      <w:r w:rsidR="009A4589">
        <w:rPr>
          <w:rFonts w:cs="Times New Roman"/>
        </w:rPr>
        <w:t>, USAF Letter dated Mar. 26, 2020</w:t>
      </w:r>
      <w:r w:rsidRPr="00334552">
        <w:rPr>
          <w:rFonts w:cs="Times New Roman"/>
        </w:rPr>
        <w:t>.</w:t>
      </w:r>
    </w:p>
  </w:footnote>
  <w:footnote w:id="12">
    <w:p w14:paraId="0E34CE3B" w14:textId="653C6BE8" w:rsidR="00B9240F" w:rsidRDefault="00B9240F">
      <w:pPr>
        <w:pStyle w:val="FootnoteText"/>
      </w:pPr>
      <w:r>
        <w:rPr>
          <w:rStyle w:val="FootnoteReference"/>
        </w:rPr>
        <w:footnoteRef/>
      </w:r>
      <w:r>
        <w:t xml:space="preserve"> Tr</w:t>
      </w:r>
      <w:r w:rsidR="00AF29E5">
        <w:t>. at</w:t>
      </w:r>
      <w:r w:rsidR="009A4589">
        <w:t xml:space="preserve"> </w:t>
      </w:r>
      <w:r>
        <w:t>369:9-12</w:t>
      </w:r>
      <w:r w:rsidR="00AF29E5">
        <w:t xml:space="preserve"> </w:t>
      </w:r>
      <w:r w:rsidR="006D2C08">
        <w:t xml:space="preserve">(CPS Panel Cross) </w:t>
      </w:r>
      <w:r w:rsidR="00AF29E5">
        <w:t>(May 4, 2021)</w:t>
      </w:r>
      <w:r>
        <w:t>.</w:t>
      </w:r>
    </w:p>
  </w:footnote>
  <w:footnote w:id="13">
    <w:p w14:paraId="698DEC51" w14:textId="2BE3A89F" w:rsidR="00E23340" w:rsidRDefault="00E23340">
      <w:pPr>
        <w:pStyle w:val="FootnoteText"/>
      </w:pPr>
      <w:r>
        <w:rPr>
          <w:rStyle w:val="FootnoteReference"/>
        </w:rPr>
        <w:footnoteRef/>
      </w:r>
      <w:r>
        <w:t xml:space="preserve"> Tr</w:t>
      </w:r>
      <w:r w:rsidR="00AF29E5">
        <w:t xml:space="preserve">. at </w:t>
      </w:r>
      <w:r w:rsidR="002B3C08">
        <w:t>344:21 – 345:20</w:t>
      </w:r>
      <w:r w:rsidR="006D2C08">
        <w:t xml:space="preserve"> (CPS Panel Cross)</w:t>
      </w:r>
      <w:r w:rsidR="002B3C08">
        <w:t xml:space="preserve"> (May 3, 2021).</w:t>
      </w:r>
    </w:p>
  </w:footnote>
  <w:footnote w:id="14">
    <w:p w14:paraId="70EC0E7A" w14:textId="675B2791" w:rsidR="00081F8B" w:rsidRDefault="00081F8B">
      <w:pPr>
        <w:pStyle w:val="FootnoteText"/>
      </w:pPr>
      <w:r>
        <w:rPr>
          <w:rStyle w:val="FootnoteReference"/>
        </w:rPr>
        <w:footnoteRef/>
      </w:r>
      <w:r>
        <w:t xml:space="preserve"> </w:t>
      </w:r>
      <w:r w:rsidR="00C46F6A">
        <w:t>T</w:t>
      </w:r>
      <w:r w:rsidR="00574209">
        <w:t>r</w:t>
      </w:r>
      <w:r w:rsidR="00AF29E5">
        <w:t>. at</w:t>
      </w:r>
      <w:r w:rsidR="00574209">
        <w:t xml:space="preserve"> 254: 25-255:3</w:t>
      </w:r>
      <w:r w:rsidR="00AF29E5">
        <w:t xml:space="preserve"> (May 3, 2021)</w:t>
      </w:r>
      <w:r w:rsidR="00574209">
        <w:t>.</w:t>
      </w:r>
    </w:p>
  </w:footnote>
  <w:footnote w:id="15">
    <w:p w14:paraId="48974954" w14:textId="7FE227C8" w:rsidR="0074048C" w:rsidRDefault="0074048C">
      <w:pPr>
        <w:pStyle w:val="FootnoteText"/>
      </w:pPr>
      <w:r>
        <w:rPr>
          <w:rStyle w:val="FootnoteReference"/>
        </w:rPr>
        <w:footnoteRef/>
      </w:r>
      <w:r>
        <w:t xml:space="preserve"> </w:t>
      </w:r>
      <w:r w:rsidR="00580A29">
        <w:t>CPS Energy Ex. 1</w:t>
      </w:r>
      <w:r w:rsidR="00B7027A">
        <w:t>,</w:t>
      </w:r>
      <w:r w:rsidR="00580A29">
        <w:t xml:space="preserve"> Environmental Assessment at 4-23 (Original Application); CPS Energy Ex. 15 at Table 4-2R (Meaux Rebuttal).</w:t>
      </w:r>
    </w:p>
  </w:footnote>
  <w:footnote w:id="16">
    <w:p w14:paraId="51C5E1DC" w14:textId="28876984" w:rsidR="00EA423A" w:rsidRDefault="00EA423A">
      <w:pPr>
        <w:pStyle w:val="FootnoteText"/>
      </w:pPr>
      <w:r>
        <w:rPr>
          <w:rStyle w:val="FootnoteReference"/>
        </w:rPr>
        <w:footnoteRef/>
      </w:r>
      <w:r>
        <w:t xml:space="preserve"> </w:t>
      </w:r>
      <w:r w:rsidR="00253BAF">
        <w:t xml:space="preserve">PC </w:t>
      </w:r>
      <w:r w:rsidR="00EF5195">
        <w:t>Ex</w:t>
      </w:r>
      <w:r w:rsidR="00253BAF">
        <w:t xml:space="preserve">. 28, </w:t>
      </w:r>
      <w:r>
        <w:t xml:space="preserve">Direct Testimony of Patrick Cleveland at 2:5-8 </w:t>
      </w:r>
      <w:r w:rsidR="009A4589">
        <w:t>(Cleveland Direct)</w:t>
      </w:r>
      <w:r>
        <w:t>.</w:t>
      </w:r>
    </w:p>
  </w:footnote>
  <w:footnote w:id="17">
    <w:p w14:paraId="4B04B5A6" w14:textId="3BD4EC06" w:rsidR="00EA423A" w:rsidRDefault="00EA423A">
      <w:pPr>
        <w:pStyle w:val="FootnoteText"/>
      </w:pPr>
      <w:r>
        <w:rPr>
          <w:rStyle w:val="FootnoteReference"/>
        </w:rPr>
        <w:footnoteRef/>
      </w:r>
      <w:r>
        <w:t xml:space="preserve"> </w:t>
      </w:r>
      <w:r w:rsidR="009A4589">
        <w:t xml:space="preserve">AS </w:t>
      </w:r>
      <w:r w:rsidR="00EF5195">
        <w:t>Ex</w:t>
      </w:r>
      <w:r w:rsidR="009A4589">
        <w:t xml:space="preserve">. 1, Revised </w:t>
      </w:r>
      <w:r>
        <w:t>Direct Testimony of Steve Cichowski on behalf of Anaqua Springs HOA at 10:9-12</w:t>
      </w:r>
      <w:r w:rsidR="009A4589">
        <w:t xml:space="preserve"> (Cichowski Direct)</w:t>
      </w:r>
      <w:r>
        <w:t>.</w:t>
      </w:r>
    </w:p>
  </w:footnote>
  <w:footnote w:id="18">
    <w:p w14:paraId="1CC3DD95" w14:textId="3C7BA29D" w:rsidR="004A633B" w:rsidRDefault="004A633B">
      <w:pPr>
        <w:pStyle w:val="FootnoteText"/>
      </w:pPr>
      <w:r>
        <w:rPr>
          <w:rStyle w:val="FootnoteReference"/>
        </w:rPr>
        <w:footnoteRef/>
      </w:r>
      <w:r>
        <w:t xml:space="preserve"> Tr. at 286-87</w:t>
      </w:r>
      <w:r w:rsidR="00AF29E5">
        <w:t xml:space="preserve"> </w:t>
      </w:r>
      <w:r w:rsidR="006D2C08">
        <w:t xml:space="preserve">(CPS Panel Cross) </w:t>
      </w:r>
      <w:r w:rsidR="00AF29E5">
        <w:t>(May 3, 2021)</w:t>
      </w:r>
      <w:r>
        <w:t xml:space="preserve">; </w:t>
      </w:r>
      <w:r w:rsidR="00490887">
        <w:t>Tr</w:t>
      </w:r>
      <w:r w:rsidR="00AF29E5">
        <w:t>. at</w:t>
      </w:r>
      <w:r w:rsidR="00490887">
        <w:t xml:space="preserve"> 800:6-16</w:t>
      </w:r>
      <w:r w:rsidR="006D2C08">
        <w:t xml:space="preserve"> (Poole Cross)</w:t>
      </w:r>
      <w:r w:rsidR="00490887">
        <w:t xml:space="preserve"> (May 5, 2021)</w:t>
      </w:r>
      <w:r w:rsidR="009A4589">
        <w:t>.</w:t>
      </w:r>
    </w:p>
  </w:footnote>
  <w:footnote w:id="19">
    <w:p w14:paraId="1BBF3713" w14:textId="3F7F23B3" w:rsidR="00974F88" w:rsidRDefault="00974F88">
      <w:pPr>
        <w:pStyle w:val="FootnoteText"/>
      </w:pPr>
      <w:r>
        <w:rPr>
          <w:rStyle w:val="FootnoteReference"/>
        </w:rPr>
        <w:footnoteRef/>
      </w:r>
      <w:r>
        <w:t xml:space="preserve"> </w:t>
      </w:r>
      <w:r w:rsidR="00045B87">
        <w:t xml:space="preserve">AS/Jauer </w:t>
      </w:r>
      <w:r w:rsidR="00EF5195">
        <w:t>Ex</w:t>
      </w:r>
      <w:r w:rsidR="00045B87">
        <w:t>. 25, Revised Direct Testimony of Mark Anderson at 31:3-5</w:t>
      </w:r>
      <w:r w:rsidR="009A4589">
        <w:t xml:space="preserve"> (Anderson Direct)</w:t>
      </w:r>
      <w:r w:rsidR="00045B87">
        <w:t>.</w:t>
      </w:r>
    </w:p>
  </w:footnote>
  <w:footnote w:id="20">
    <w:p w14:paraId="03116627" w14:textId="674FA204" w:rsidR="00A94948" w:rsidRDefault="00A94948" w:rsidP="00A94948">
      <w:pPr>
        <w:pStyle w:val="FootnoteText"/>
      </w:pPr>
      <w:r>
        <w:rPr>
          <w:rStyle w:val="FootnoteReference"/>
        </w:rPr>
        <w:footnoteRef/>
      </w:r>
      <w:r>
        <w:t xml:space="preserve"> AS </w:t>
      </w:r>
      <w:r w:rsidR="00EF5195">
        <w:t>Ex</w:t>
      </w:r>
      <w:r>
        <w:t xml:space="preserve">. 50, CPS Supplemental Response to Jauer RFI 2-16. </w:t>
      </w:r>
    </w:p>
  </w:footnote>
  <w:footnote w:id="21">
    <w:p w14:paraId="12206854" w14:textId="4908034B" w:rsidR="00D22FAB" w:rsidRDefault="00D22FAB" w:rsidP="00684FF9">
      <w:pPr>
        <w:pStyle w:val="FootnoteText"/>
      </w:pPr>
      <w:r>
        <w:rPr>
          <w:rStyle w:val="FootnoteReference"/>
        </w:rPr>
        <w:footnoteRef/>
      </w:r>
      <w:r>
        <w:t xml:space="preserve"> </w:t>
      </w:r>
      <w:bookmarkStart w:id="8" w:name="_Hlk72492205"/>
      <w:bookmarkStart w:id="9" w:name="_Hlk72492233"/>
      <w:r>
        <w:t>Tr</w:t>
      </w:r>
      <w:r w:rsidR="00AF29E5">
        <w:t>. at</w:t>
      </w:r>
      <w:r>
        <w:t xml:space="preserve"> 3</w:t>
      </w:r>
      <w:r w:rsidR="00EA0EB4">
        <w:t>43</w:t>
      </w:r>
      <w:r w:rsidR="006D2C08">
        <w:t>:1–348:10 (CPS Panel Cross)</w:t>
      </w:r>
      <w:r w:rsidR="00AF29E5">
        <w:t xml:space="preserve"> (May 3, 2021)</w:t>
      </w:r>
      <w:r w:rsidR="006D2C08">
        <w:t>; Tr. at 401:1-404:3 (CPS Panel Cross) (May 4, 2021)</w:t>
      </w:r>
      <w:r w:rsidR="00E55C69">
        <w:t>.</w:t>
      </w:r>
      <w:bookmarkEnd w:id="8"/>
      <w:r w:rsidR="00684FF9">
        <w:t xml:space="preserve">  There were a number of objections to these questions at the hearing and some simultaneous discussion. However, this information can be verified in the following way:  all properties surrounded in yellow have a tract ID number such as F-051.  Those numbers correspond to the tract ID numbers in Attachment 8 to CPS’s Application.  Attachment 8 is the notice list.  Any property without a tract ID, such as those around Substation 7 did not receive mailed notice from CPS.  Looking at the properties around the other substations and using the scale of the map and a ruler, it can be determined that many of those properties are not crossed by the transmission line and do not have a habitable structure within 300 feet of the centerline.</w:t>
      </w:r>
    </w:p>
    <w:bookmarkEnd w:id="9"/>
  </w:footnote>
  <w:footnote w:id="22">
    <w:p w14:paraId="2B802F67" w14:textId="2BCB96B0" w:rsidR="0049225C" w:rsidRDefault="0049225C">
      <w:pPr>
        <w:pStyle w:val="FootnoteText"/>
      </w:pPr>
      <w:r w:rsidRPr="006F02A8">
        <w:rPr>
          <w:rStyle w:val="FootnoteReference"/>
        </w:rPr>
        <w:footnoteRef/>
      </w:r>
      <w:r w:rsidRPr="006F02A8">
        <w:t xml:space="preserve"> </w:t>
      </w:r>
      <w:r w:rsidR="00C46F6A">
        <w:t>AS/Jauer Ex</w:t>
      </w:r>
      <w:r w:rsidR="00EF5195">
        <w:t>.</w:t>
      </w:r>
      <w:r w:rsidR="00C46F6A">
        <w:t xml:space="preserve"> 25 at bates 145 (</w:t>
      </w:r>
      <w:r w:rsidR="003A333F">
        <w:t xml:space="preserve">Anderson </w:t>
      </w:r>
      <w:r w:rsidR="009A4589">
        <w:t>Direct</w:t>
      </w:r>
      <w:r w:rsidR="00C46F6A">
        <w:t>)</w:t>
      </w:r>
      <w:r w:rsidR="006F02A8">
        <w:t>.</w:t>
      </w:r>
    </w:p>
  </w:footnote>
  <w:footnote w:id="23">
    <w:p w14:paraId="5648BB09" w14:textId="6C1A47F8" w:rsidR="00C925A7" w:rsidRDefault="00C925A7">
      <w:pPr>
        <w:pStyle w:val="FootnoteText"/>
      </w:pPr>
      <w:r>
        <w:rPr>
          <w:rStyle w:val="FootnoteReference"/>
        </w:rPr>
        <w:footnoteRef/>
      </w:r>
      <w:r>
        <w:t xml:space="preserve"> Dreico Companies </w:t>
      </w:r>
      <w:r w:rsidR="00EF5195">
        <w:t>Ex</w:t>
      </w:r>
      <w:r>
        <w:t>. 1, Direct Testimony of Tom Dreiss at 4:8-10</w:t>
      </w:r>
      <w:r w:rsidR="00253BAF">
        <w:t xml:space="preserve"> (Dreiss Direct)</w:t>
      </w:r>
      <w:r>
        <w:t>.</w:t>
      </w:r>
    </w:p>
  </w:footnote>
  <w:footnote w:id="24">
    <w:p w14:paraId="0B111326" w14:textId="7D67B1D6" w:rsidR="000A42E5" w:rsidRDefault="000A42E5">
      <w:pPr>
        <w:pStyle w:val="FootnoteText"/>
      </w:pPr>
      <w:r>
        <w:rPr>
          <w:rStyle w:val="FootnoteReference"/>
        </w:rPr>
        <w:footnoteRef/>
      </w:r>
      <w:r>
        <w:t xml:space="preserve"> </w:t>
      </w:r>
      <w:r w:rsidR="009A4589">
        <w:rPr>
          <w:i/>
          <w:iCs/>
        </w:rPr>
        <w:t>Id.</w:t>
      </w:r>
      <w:r>
        <w:t xml:space="preserve"> at</w:t>
      </w:r>
      <w:r w:rsidR="009A4589">
        <w:t xml:space="preserve"> bates</w:t>
      </w:r>
      <w:r>
        <w:t xml:space="preserve"> 006:8-10.</w:t>
      </w:r>
    </w:p>
  </w:footnote>
  <w:footnote w:id="25">
    <w:p w14:paraId="379A3764" w14:textId="25D20E6D" w:rsidR="005F26DF" w:rsidRDefault="005F26DF">
      <w:pPr>
        <w:pStyle w:val="FootnoteText"/>
      </w:pPr>
      <w:r>
        <w:rPr>
          <w:rStyle w:val="FootnoteReference"/>
        </w:rPr>
        <w:footnoteRef/>
      </w:r>
      <w:r>
        <w:t xml:space="preserve"> </w:t>
      </w:r>
      <w:r w:rsidR="009A4589">
        <w:rPr>
          <w:i/>
          <w:iCs/>
        </w:rPr>
        <w:t>Id.</w:t>
      </w:r>
      <w:r>
        <w:t xml:space="preserve"> at </w:t>
      </w:r>
      <w:r w:rsidR="009A4589">
        <w:t xml:space="preserve">bates </w:t>
      </w:r>
      <w:r w:rsidR="000A42E5">
        <w:t>007:14-17;</w:t>
      </w:r>
      <w:r w:rsidR="00580A29">
        <w:t xml:space="preserve"> AS/Jauer Ex. 25 at Exhibit MDA-17, Segments 42a, 46, 46</w:t>
      </w:r>
      <w:r w:rsidR="00580A29" w:rsidRPr="00580A29">
        <w:t>a</w:t>
      </w:r>
      <w:r w:rsidR="00580A29">
        <w:t>, 46b, 49a (Anderson Direct)</w:t>
      </w:r>
      <w:r w:rsidR="000A42E5" w:rsidRPr="00765D4A">
        <w:t>.</w:t>
      </w:r>
    </w:p>
  </w:footnote>
  <w:footnote w:id="26">
    <w:p w14:paraId="18DF1AA6" w14:textId="56AC3787" w:rsidR="00D371A1" w:rsidRDefault="00D371A1">
      <w:pPr>
        <w:pStyle w:val="FootnoteText"/>
      </w:pPr>
      <w:r>
        <w:rPr>
          <w:rStyle w:val="FootnoteReference"/>
        </w:rPr>
        <w:footnoteRef/>
      </w:r>
      <w:r>
        <w:t xml:space="preserve"> </w:t>
      </w:r>
      <w:r w:rsidR="0090302B">
        <w:t xml:space="preserve">Arbuckle </w:t>
      </w:r>
      <w:r w:rsidR="00EF5195">
        <w:t>Ex.</w:t>
      </w:r>
      <w:r w:rsidR="0090302B">
        <w:t xml:space="preserve"> 1, </w:t>
      </w:r>
      <w:r>
        <w:t xml:space="preserve">Direct Testimony of Joan M. Arbuckle at </w:t>
      </w:r>
      <w:r w:rsidR="0090302B">
        <w:t>6</w:t>
      </w:r>
      <w:r w:rsidR="00B7027A">
        <w:t xml:space="preserve"> (Arbuckle Direct)</w:t>
      </w:r>
      <w:r w:rsidR="0090302B">
        <w:t>.</w:t>
      </w:r>
    </w:p>
  </w:footnote>
  <w:footnote w:id="27">
    <w:p w14:paraId="0199335C" w14:textId="5886EA46" w:rsidR="003A333F" w:rsidRDefault="003A333F">
      <w:pPr>
        <w:pStyle w:val="FootnoteText"/>
      </w:pPr>
      <w:r>
        <w:rPr>
          <w:rStyle w:val="FootnoteReference"/>
        </w:rPr>
        <w:footnoteRef/>
      </w:r>
      <w:r>
        <w:t xml:space="preserve"> Tr</w:t>
      </w:r>
      <w:r w:rsidR="00AF29E5">
        <w:t>. at</w:t>
      </w:r>
      <w:r>
        <w:t xml:space="preserve"> 555:7-13</w:t>
      </w:r>
      <w:r w:rsidR="00741985">
        <w:t xml:space="preserve"> (CPS Panel Cross)</w:t>
      </w:r>
      <w:r w:rsidR="00AF29E5">
        <w:t xml:space="preserve"> (May 4, 2021)</w:t>
      </w:r>
      <w:r>
        <w:t>.</w:t>
      </w:r>
    </w:p>
  </w:footnote>
  <w:footnote w:id="28">
    <w:p w14:paraId="40BD69E5" w14:textId="55B11B98" w:rsidR="00FF6068" w:rsidRDefault="00FF6068">
      <w:pPr>
        <w:pStyle w:val="FootnoteText"/>
      </w:pPr>
      <w:r>
        <w:rPr>
          <w:rStyle w:val="FootnoteReference"/>
        </w:rPr>
        <w:footnoteRef/>
      </w:r>
      <w:r>
        <w:t xml:space="preserve"> This habitable structure was numbered </w:t>
      </w:r>
      <w:r w:rsidR="0005240A">
        <w:t>212</w:t>
      </w:r>
      <w:r>
        <w:t xml:space="preserve"> in Ms. Meaux’s rebuttal testimony.  The aerial map </w:t>
      </w:r>
      <w:r w:rsidR="007378D7">
        <w:t xml:space="preserve">with a date of January 2019 </w:t>
      </w:r>
      <w:r>
        <w:t>filed in the original Application shows grading equipment on the property</w:t>
      </w:r>
      <w:r w:rsidR="007378D7">
        <w:t xml:space="preserve"> (Attachment 6).</w:t>
      </w:r>
      <w:r>
        <w:t xml:space="preserve"> </w:t>
      </w:r>
    </w:p>
  </w:footnote>
  <w:footnote w:id="29">
    <w:p w14:paraId="57C73147" w14:textId="0B247430" w:rsidR="00E153C9" w:rsidRDefault="00E153C9" w:rsidP="00E153C9">
      <w:pPr>
        <w:pStyle w:val="FootnoteText"/>
      </w:pPr>
      <w:r>
        <w:rPr>
          <w:rStyle w:val="FootnoteReference"/>
        </w:rPr>
        <w:footnoteRef/>
      </w:r>
      <w:r>
        <w:t xml:space="preserve"> </w:t>
      </w:r>
      <w:r w:rsidR="00CD34A8">
        <w:t xml:space="preserve">CPS Energy </w:t>
      </w:r>
      <w:r w:rsidR="00EF5195">
        <w:t>Ex</w:t>
      </w:r>
      <w:r w:rsidR="00CD34A8">
        <w:t xml:space="preserve">. 14, </w:t>
      </w:r>
      <w:r>
        <w:t>Errata to the Rebuttal Testimony of Scott D. Lyssy, P.E.</w:t>
      </w:r>
      <w:r w:rsidR="00C46F6A">
        <w:t>(Lyssy Rebuttal)</w:t>
      </w:r>
      <w:r>
        <w:t>; AS Ex</w:t>
      </w:r>
      <w:r w:rsidR="00B7027A">
        <w:t xml:space="preserve">. </w:t>
      </w:r>
      <w:r>
        <w:t>29</w:t>
      </w:r>
      <w:r w:rsidR="00B7027A">
        <w:t>-</w:t>
      </w:r>
      <w:r>
        <w:t>36</w:t>
      </w:r>
      <w:r w:rsidR="00B7027A">
        <w:t>, CPS Response and Supplemental Response to Anaqua RFIs 2-5, 2-7, 2-8, 2-9, 2-10, 2-11, 2-12, 2-15</w:t>
      </w:r>
      <w:r>
        <w:t>.</w:t>
      </w:r>
    </w:p>
  </w:footnote>
  <w:footnote w:id="30">
    <w:p w14:paraId="0FBA678F" w14:textId="38620E8C" w:rsidR="00E153C9" w:rsidRDefault="00E153C9" w:rsidP="00E153C9">
      <w:pPr>
        <w:pStyle w:val="FootnoteText"/>
      </w:pPr>
      <w:r>
        <w:rPr>
          <w:rStyle w:val="FootnoteReference"/>
        </w:rPr>
        <w:footnoteRef/>
      </w:r>
      <w:r>
        <w:t xml:space="preserve"> CPS Ex. </w:t>
      </w:r>
      <w:r w:rsidR="00C46F6A">
        <w:t>14 at 8:9-11</w:t>
      </w:r>
      <w:r w:rsidR="003E6F08">
        <w:t xml:space="preserve"> (</w:t>
      </w:r>
      <w:r>
        <w:t>Lyssy Rebuttal</w:t>
      </w:r>
      <w:r w:rsidR="003E6F08">
        <w:t>)</w:t>
      </w:r>
      <w:r>
        <w:t>.</w:t>
      </w:r>
    </w:p>
  </w:footnote>
  <w:footnote w:id="31">
    <w:p w14:paraId="197ED806" w14:textId="4903971B" w:rsidR="00E153C9" w:rsidRDefault="00E153C9" w:rsidP="00E153C9">
      <w:pPr>
        <w:pStyle w:val="FootnoteText"/>
      </w:pPr>
      <w:r>
        <w:rPr>
          <w:rStyle w:val="FootnoteReference"/>
        </w:rPr>
        <w:footnoteRef/>
      </w:r>
      <w:r>
        <w:t xml:space="preserve"> Tr. </w:t>
      </w:r>
      <w:r w:rsidR="00AF29E5">
        <w:t>at</w:t>
      </w:r>
      <w:r w:rsidR="003E6F08">
        <w:t xml:space="preserve"> </w:t>
      </w:r>
      <w:r>
        <w:t>393:22-394:1</w:t>
      </w:r>
      <w:r w:rsidR="00AF29E5">
        <w:t xml:space="preserve"> </w:t>
      </w:r>
      <w:r w:rsidR="00741985">
        <w:t xml:space="preserve">(CPS Panel Cross) </w:t>
      </w:r>
      <w:r w:rsidR="00AF29E5">
        <w:t>(May 4, 2021)</w:t>
      </w:r>
      <w:r>
        <w:t>.</w:t>
      </w:r>
    </w:p>
  </w:footnote>
  <w:footnote w:id="32">
    <w:p w14:paraId="32322C1B" w14:textId="32D37054" w:rsidR="00E153C9" w:rsidRDefault="00E153C9" w:rsidP="00E153C9">
      <w:pPr>
        <w:pStyle w:val="FootnoteText"/>
      </w:pPr>
      <w:r>
        <w:rPr>
          <w:rStyle w:val="FootnoteReference"/>
        </w:rPr>
        <w:footnoteRef/>
      </w:r>
      <w:r>
        <w:t xml:space="preserve"> Tr. </w:t>
      </w:r>
      <w:r w:rsidR="00AF29E5">
        <w:t>at</w:t>
      </w:r>
      <w:r>
        <w:t xml:space="preserve"> 920:12-20; 920:25-922:3</w:t>
      </w:r>
      <w:r w:rsidR="00741985">
        <w:t xml:space="preserve"> (Dreiss Cross)</w:t>
      </w:r>
      <w:r w:rsidR="00AF29E5">
        <w:t xml:space="preserve"> (May 7, 2021)</w:t>
      </w:r>
      <w:r>
        <w:t>.</w:t>
      </w:r>
    </w:p>
  </w:footnote>
  <w:footnote w:id="33">
    <w:p w14:paraId="4097E1F2" w14:textId="56EF9010" w:rsidR="00D371A1" w:rsidRDefault="00D371A1">
      <w:pPr>
        <w:pStyle w:val="FootnoteText"/>
      </w:pPr>
      <w:r>
        <w:rPr>
          <w:rStyle w:val="FootnoteReference"/>
        </w:rPr>
        <w:footnoteRef/>
      </w:r>
      <w:r w:rsidR="000C23A7">
        <w:t xml:space="preserve"> </w:t>
      </w:r>
      <w:r w:rsidR="003E6F08">
        <w:t>AS/Jauer Ex. No. 24 at 16:13-17:1 (</w:t>
      </w:r>
      <w:r w:rsidR="00792A96">
        <w:t xml:space="preserve">Anderson </w:t>
      </w:r>
      <w:r w:rsidR="00253BAF">
        <w:t>Direct</w:t>
      </w:r>
      <w:r w:rsidR="003E6F08">
        <w:t>)</w:t>
      </w:r>
      <w:r w:rsidR="00EF521A">
        <w:t xml:space="preserve">; </w:t>
      </w:r>
      <w:r w:rsidR="003A3D43">
        <w:t>CPS Energy Ex. 1</w:t>
      </w:r>
      <w:r w:rsidR="009A45B9">
        <w:t xml:space="preserve">, </w:t>
      </w:r>
      <w:r w:rsidR="00EF521A" w:rsidRPr="00B7027A">
        <w:t>E</w:t>
      </w:r>
      <w:r w:rsidR="003A3D43" w:rsidRPr="00B7027A">
        <w:t xml:space="preserve">nvironmental </w:t>
      </w:r>
      <w:r w:rsidR="00EF521A" w:rsidRPr="00B7027A">
        <w:t>A</w:t>
      </w:r>
      <w:r w:rsidR="003A3D43" w:rsidRPr="00B7027A">
        <w:t>ssessment</w:t>
      </w:r>
      <w:r w:rsidR="00EF521A" w:rsidRPr="00B7027A">
        <w:t xml:space="preserve"> 6-2 through 6-4</w:t>
      </w:r>
      <w:r w:rsidR="00B7027A">
        <w:t xml:space="preserve"> (Original Application)</w:t>
      </w:r>
      <w:r w:rsidR="00792A96">
        <w:t>.</w:t>
      </w:r>
    </w:p>
  </w:footnote>
  <w:footnote w:id="34">
    <w:p w14:paraId="21AAEA32" w14:textId="60D5CFB9" w:rsidR="001F51A1" w:rsidRDefault="001F51A1">
      <w:pPr>
        <w:pStyle w:val="FootnoteText"/>
      </w:pPr>
      <w:r>
        <w:rPr>
          <w:rStyle w:val="FootnoteReference"/>
        </w:rPr>
        <w:footnoteRef/>
      </w:r>
      <w:r>
        <w:t xml:space="preserve"> </w:t>
      </w:r>
      <w:bookmarkStart w:id="17" w:name="_Hlk72263359"/>
      <w:r w:rsidR="00C46F6A">
        <w:t>CPS Energy Ex. 15</w:t>
      </w:r>
      <w:r w:rsidR="009A45B9">
        <w:t xml:space="preserve"> at</w:t>
      </w:r>
      <w:r w:rsidR="00C46F6A">
        <w:t xml:space="preserve"> </w:t>
      </w:r>
      <w:r>
        <w:t>Amended Table 4-1R</w:t>
      </w:r>
      <w:bookmarkEnd w:id="17"/>
      <w:r w:rsidR="003E6F08">
        <w:t xml:space="preserve"> (Meaux Rebuttal)</w:t>
      </w:r>
      <w:r w:rsidR="00746D10">
        <w:t>.</w:t>
      </w:r>
    </w:p>
  </w:footnote>
  <w:footnote w:id="35">
    <w:p w14:paraId="4F31C26D" w14:textId="47A3DD80" w:rsidR="001F51A1" w:rsidRDefault="001F51A1">
      <w:pPr>
        <w:pStyle w:val="FootnoteText"/>
      </w:pPr>
      <w:r>
        <w:rPr>
          <w:rStyle w:val="FootnoteReference"/>
        </w:rPr>
        <w:footnoteRef/>
      </w:r>
      <w:r w:rsidRPr="001F51A1">
        <w:t xml:space="preserve"> </w:t>
      </w:r>
      <w:r w:rsidR="00253BAF">
        <w:rPr>
          <w:i/>
          <w:iCs/>
        </w:rPr>
        <w:t>Id.</w:t>
      </w:r>
    </w:p>
  </w:footnote>
  <w:footnote w:id="36">
    <w:p w14:paraId="2A439005" w14:textId="3596A06A" w:rsidR="00792A96" w:rsidRDefault="00792A96">
      <w:pPr>
        <w:pStyle w:val="FootnoteText"/>
      </w:pPr>
      <w:r>
        <w:rPr>
          <w:rStyle w:val="FootnoteReference"/>
        </w:rPr>
        <w:footnoteRef/>
      </w:r>
      <w:r>
        <w:t xml:space="preserve"> Tr</w:t>
      </w:r>
      <w:r w:rsidR="00AF29E5">
        <w:t>. at</w:t>
      </w:r>
      <w:r>
        <w:t xml:space="preserve"> 384:16-385:</w:t>
      </w:r>
      <w:r w:rsidR="00253BAF">
        <w:t>19</w:t>
      </w:r>
      <w:r w:rsidR="00AF29E5">
        <w:t xml:space="preserve"> </w:t>
      </w:r>
      <w:r w:rsidR="00741985">
        <w:t xml:space="preserve">(CPS Panel Cross) </w:t>
      </w:r>
      <w:r w:rsidR="00AF29E5">
        <w:t>(May 4, 2021)</w:t>
      </w:r>
      <w:r w:rsidR="00253BAF">
        <w:t>.</w:t>
      </w:r>
    </w:p>
  </w:footnote>
  <w:footnote w:id="37">
    <w:p w14:paraId="18E2BEC1" w14:textId="5D389126" w:rsidR="006F02A8" w:rsidRDefault="006F02A8">
      <w:pPr>
        <w:pStyle w:val="FootnoteText"/>
      </w:pPr>
      <w:r>
        <w:rPr>
          <w:rStyle w:val="FootnoteReference"/>
        </w:rPr>
        <w:footnoteRef/>
      </w:r>
      <w:r>
        <w:t xml:space="preserve"> </w:t>
      </w:r>
      <w:r w:rsidR="003E6F08">
        <w:t>AS Ex. 1 at 10 (</w:t>
      </w:r>
      <w:r>
        <w:t xml:space="preserve">Cichowski </w:t>
      </w:r>
      <w:r w:rsidR="00253BAF">
        <w:t>Direct</w:t>
      </w:r>
      <w:r w:rsidR="003E6F08">
        <w:t>)</w:t>
      </w:r>
      <w:r w:rsidR="00354A0F">
        <w:t xml:space="preserve">; </w:t>
      </w:r>
      <w:r w:rsidR="003E6F08">
        <w:t xml:space="preserve">PC </w:t>
      </w:r>
      <w:r w:rsidR="00B7027A">
        <w:t>Ex</w:t>
      </w:r>
      <w:r w:rsidR="003E6F08">
        <w:t>. 28 at 2:4-9 (</w:t>
      </w:r>
      <w:r w:rsidR="00354A0F">
        <w:t xml:space="preserve">Cleveland </w:t>
      </w:r>
      <w:r w:rsidR="00253BAF">
        <w:t>Direct</w:t>
      </w:r>
      <w:r w:rsidR="003E6F08">
        <w:t>)</w:t>
      </w:r>
      <w:r w:rsidR="00354A0F">
        <w:t>.</w:t>
      </w:r>
    </w:p>
  </w:footnote>
  <w:footnote w:id="38">
    <w:p w14:paraId="7B53D10F" w14:textId="294A8A7A" w:rsidR="0090302B" w:rsidRDefault="0090302B">
      <w:pPr>
        <w:pStyle w:val="FootnoteText"/>
      </w:pPr>
      <w:r>
        <w:rPr>
          <w:rStyle w:val="FootnoteReference"/>
        </w:rPr>
        <w:footnoteRef/>
      </w:r>
      <w:r>
        <w:t xml:space="preserve"> </w:t>
      </w:r>
      <w:r w:rsidR="003E6F08">
        <w:t>Dreico Companies Ex. 1 at 4:8-13 (</w:t>
      </w:r>
      <w:r w:rsidR="00253BAF">
        <w:t>Dreiss</w:t>
      </w:r>
      <w:r>
        <w:t xml:space="preserve"> D</w:t>
      </w:r>
      <w:r w:rsidR="00253BAF">
        <w:t>irect</w:t>
      </w:r>
      <w:r w:rsidR="003E6F08">
        <w:t>)</w:t>
      </w:r>
      <w:r>
        <w:t>.</w:t>
      </w:r>
    </w:p>
  </w:footnote>
  <w:footnote w:id="39">
    <w:p w14:paraId="20F01B7C" w14:textId="54AECA73" w:rsidR="0090302B" w:rsidRDefault="0090302B">
      <w:pPr>
        <w:pStyle w:val="FootnoteText"/>
      </w:pPr>
      <w:r>
        <w:rPr>
          <w:rStyle w:val="FootnoteReference"/>
        </w:rPr>
        <w:footnoteRef/>
      </w:r>
      <w:r>
        <w:t xml:space="preserve"> </w:t>
      </w:r>
      <w:r w:rsidR="00253BAF">
        <w:rPr>
          <w:i/>
          <w:iCs/>
        </w:rPr>
        <w:t>Id.</w:t>
      </w:r>
      <w:r>
        <w:t xml:space="preserve"> at 5:5-8.</w:t>
      </w:r>
    </w:p>
  </w:footnote>
  <w:footnote w:id="40">
    <w:p w14:paraId="0CB63301" w14:textId="50997298" w:rsidR="009D6628" w:rsidRDefault="009D6628">
      <w:pPr>
        <w:pStyle w:val="FootnoteText"/>
      </w:pPr>
      <w:r>
        <w:rPr>
          <w:rStyle w:val="FootnoteReference"/>
        </w:rPr>
        <w:footnoteRef/>
      </w:r>
      <w:r>
        <w:t xml:space="preserve"> </w:t>
      </w:r>
      <w:r w:rsidR="00253BAF">
        <w:rPr>
          <w:i/>
          <w:iCs/>
        </w:rPr>
        <w:t>Id.</w:t>
      </w:r>
      <w:r w:rsidRPr="00AB14D6">
        <w:t xml:space="preserve"> at </w:t>
      </w:r>
      <w:r w:rsidR="00AB14D6">
        <w:t>Ex.1, Term 2.b.</w:t>
      </w:r>
    </w:p>
  </w:footnote>
  <w:footnote w:id="41">
    <w:p w14:paraId="792F874A" w14:textId="7F488A23" w:rsidR="00225747" w:rsidRPr="00765D4A" w:rsidRDefault="00225747" w:rsidP="00225747">
      <w:pPr>
        <w:pStyle w:val="FootnoteText"/>
      </w:pPr>
      <w:r w:rsidRPr="00DF0A0B">
        <w:rPr>
          <w:rStyle w:val="FootnoteReference"/>
        </w:rPr>
        <w:footnoteRef/>
      </w:r>
      <w:r w:rsidRPr="00765D4A">
        <w:t xml:space="preserve"> </w:t>
      </w:r>
      <w:r w:rsidR="00E712A7">
        <w:rPr>
          <w:i/>
          <w:iCs/>
        </w:rPr>
        <w:t xml:space="preserve">Id. </w:t>
      </w:r>
      <w:r w:rsidR="009D6628">
        <w:t xml:space="preserve">at </w:t>
      </w:r>
      <w:r w:rsidRPr="00765D4A">
        <w:t>Ex. 1.</w:t>
      </w:r>
    </w:p>
  </w:footnote>
  <w:footnote w:id="42">
    <w:p w14:paraId="2960FA12" w14:textId="1E437EFE" w:rsidR="00EE67F1" w:rsidRDefault="00EE67F1">
      <w:pPr>
        <w:pStyle w:val="FootnoteText"/>
      </w:pPr>
      <w:r w:rsidRPr="00765D4A">
        <w:rPr>
          <w:rStyle w:val="FootnoteReference"/>
        </w:rPr>
        <w:footnoteRef/>
      </w:r>
      <w:r w:rsidRPr="00765D4A">
        <w:t xml:space="preserve"> Tr</w:t>
      </w:r>
      <w:r w:rsidR="00E66953" w:rsidRPr="00765D4A">
        <w:t>.</w:t>
      </w:r>
      <w:r w:rsidR="00AF29E5">
        <w:t xml:space="preserve"> at </w:t>
      </w:r>
      <w:r w:rsidR="00E66953" w:rsidRPr="00765D4A">
        <w:t>877:21-878:2</w:t>
      </w:r>
      <w:r w:rsidR="00E712A7">
        <w:t xml:space="preserve"> </w:t>
      </w:r>
      <w:r w:rsidR="00741985">
        <w:t xml:space="preserve">(Dreiss Cross) </w:t>
      </w:r>
      <w:r w:rsidR="00E712A7">
        <w:t>(May 7, 2021)</w:t>
      </w:r>
      <w:r w:rsidRPr="00765D4A">
        <w:t xml:space="preserve">; Jauer </w:t>
      </w:r>
      <w:r w:rsidR="00B7027A">
        <w:t>Ex</w:t>
      </w:r>
      <w:r w:rsidR="005D70D1" w:rsidRPr="00765D4A">
        <w:t>. 28, Toutant et al. Response to Jauer’s 1</w:t>
      </w:r>
      <w:r w:rsidR="005D70D1" w:rsidRPr="00765D4A">
        <w:rPr>
          <w:vertAlign w:val="superscript"/>
        </w:rPr>
        <w:t>st</w:t>
      </w:r>
      <w:r w:rsidR="005D70D1" w:rsidRPr="00765D4A">
        <w:t xml:space="preserve"> RFI.</w:t>
      </w:r>
    </w:p>
  </w:footnote>
  <w:footnote w:id="43">
    <w:p w14:paraId="1A65B688" w14:textId="7D65EFDF" w:rsidR="00146AE8" w:rsidRDefault="00146AE8">
      <w:pPr>
        <w:pStyle w:val="FootnoteText"/>
      </w:pPr>
      <w:r>
        <w:rPr>
          <w:rStyle w:val="FootnoteReference"/>
        </w:rPr>
        <w:footnoteRef/>
      </w:r>
      <w:r>
        <w:t xml:space="preserve"> </w:t>
      </w:r>
      <w:r w:rsidR="00FA025B">
        <w:t>Tr.</w:t>
      </w:r>
      <w:r w:rsidR="00AF29E5">
        <w:t xml:space="preserve"> at</w:t>
      </w:r>
      <w:r w:rsidR="00E22A1A">
        <w:t xml:space="preserve"> 900:12-18</w:t>
      </w:r>
      <w:r w:rsidR="00FA025B">
        <w:t xml:space="preserve"> (Dreiss Cross) (May 7, 2021)</w:t>
      </w:r>
      <w:r w:rsidR="00E22A1A">
        <w:t>.</w:t>
      </w:r>
    </w:p>
  </w:footnote>
  <w:footnote w:id="44">
    <w:p w14:paraId="2DB00E49" w14:textId="7A1287BA" w:rsidR="00EF521A" w:rsidRDefault="00EF521A">
      <w:pPr>
        <w:pStyle w:val="FootnoteText"/>
      </w:pPr>
      <w:r>
        <w:rPr>
          <w:rStyle w:val="FootnoteReference"/>
        </w:rPr>
        <w:footnoteRef/>
      </w:r>
      <w:r>
        <w:t xml:space="preserve"> The guardhouse is staffed 24 hours per day, 7 days per week.  It has a bathroom, electricity, and phones. </w:t>
      </w:r>
      <w:r w:rsidR="003E6F08">
        <w:t>AS Ex. 1 at 13:10-13 (</w:t>
      </w:r>
      <w:r>
        <w:t>Cichowski Direct</w:t>
      </w:r>
      <w:r w:rsidR="003E6F08">
        <w:t>)</w:t>
      </w:r>
      <w:r>
        <w:t>.</w:t>
      </w:r>
    </w:p>
  </w:footnote>
  <w:footnote w:id="45">
    <w:p w14:paraId="1B205058" w14:textId="76733DC2" w:rsidR="009D6628" w:rsidRDefault="009D6628">
      <w:pPr>
        <w:pStyle w:val="FootnoteText"/>
      </w:pPr>
      <w:r>
        <w:rPr>
          <w:rStyle w:val="FootnoteReference"/>
        </w:rPr>
        <w:footnoteRef/>
      </w:r>
      <w:r>
        <w:t xml:space="preserve"> </w:t>
      </w:r>
      <w:r w:rsidR="000D706B">
        <w:t>Tr</w:t>
      </w:r>
      <w:r w:rsidR="00AF29E5">
        <w:t>. at</w:t>
      </w:r>
      <w:r w:rsidR="000D706B">
        <w:t xml:space="preserve"> 374:7-375:9</w:t>
      </w:r>
      <w:r w:rsidR="00FA025B">
        <w:t xml:space="preserve"> (CPS Panel Cross)</w:t>
      </w:r>
      <w:r w:rsidR="00AF29E5">
        <w:t xml:space="preserve"> (May 4, 2021)</w:t>
      </w:r>
      <w:r w:rsidR="00B35F5B">
        <w:t>.  This is the Dwivedi family home.</w:t>
      </w:r>
    </w:p>
  </w:footnote>
  <w:footnote w:id="46">
    <w:p w14:paraId="093DFD35" w14:textId="04C80BD3" w:rsidR="00B35F5B" w:rsidRDefault="00B35F5B" w:rsidP="00B35F5B">
      <w:pPr>
        <w:pStyle w:val="FootnoteText"/>
      </w:pPr>
      <w:r>
        <w:rPr>
          <w:rStyle w:val="FootnoteReference"/>
        </w:rPr>
        <w:footnoteRef/>
      </w:r>
      <w:r>
        <w:t xml:space="preserve"> </w:t>
      </w:r>
      <w:r w:rsidR="00C46F6A">
        <w:t>CPS Energy Ex. 15</w:t>
      </w:r>
      <w:r>
        <w:t xml:space="preserve"> at 10:24-25</w:t>
      </w:r>
      <w:r w:rsidR="00C46F6A">
        <w:t xml:space="preserve"> (Meaux Rebuttal)</w:t>
      </w:r>
      <w:r>
        <w:t>.</w:t>
      </w:r>
    </w:p>
  </w:footnote>
  <w:footnote w:id="47">
    <w:p w14:paraId="2A279FA4" w14:textId="1A5E15E0" w:rsidR="00B35F5B" w:rsidRDefault="00B35F5B" w:rsidP="00B35F5B">
      <w:pPr>
        <w:pStyle w:val="FootnoteText"/>
      </w:pPr>
      <w:r>
        <w:rPr>
          <w:rStyle w:val="FootnoteReference"/>
        </w:rPr>
        <w:footnoteRef/>
      </w:r>
      <w:r>
        <w:t xml:space="preserve"> Tr</w:t>
      </w:r>
      <w:r w:rsidR="00AF29E5">
        <w:t>. at</w:t>
      </w:r>
      <w:r>
        <w:t xml:space="preserve"> 837:10-22</w:t>
      </w:r>
      <w:r w:rsidR="00AF29E5">
        <w:t xml:space="preserve"> </w:t>
      </w:r>
      <w:r w:rsidR="00FA025B">
        <w:t xml:space="preserve">(CPS Panel Cross) </w:t>
      </w:r>
      <w:r w:rsidR="00AF29E5">
        <w:t>(May 5, 2021)</w:t>
      </w:r>
      <w:r>
        <w:t>.</w:t>
      </w:r>
    </w:p>
  </w:footnote>
  <w:footnote w:id="48">
    <w:p w14:paraId="3BDF2C43" w14:textId="4C718A35" w:rsidR="00EB6A64" w:rsidRDefault="00EB6A64">
      <w:pPr>
        <w:pStyle w:val="FootnoteText"/>
      </w:pPr>
      <w:r>
        <w:rPr>
          <w:rStyle w:val="FootnoteReference"/>
        </w:rPr>
        <w:footnoteRef/>
      </w:r>
      <w:r>
        <w:t xml:space="preserve"> </w:t>
      </w:r>
      <w:r w:rsidR="000D706B" w:rsidRPr="00580A29">
        <w:t xml:space="preserve">CPS Energy </w:t>
      </w:r>
      <w:r w:rsidR="00580A29" w:rsidRPr="00580A29">
        <w:t>Ex.</w:t>
      </w:r>
      <w:r w:rsidR="000D706B" w:rsidRPr="00580A29">
        <w:t xml:space="preserve"> </w:t>
      </w:r>
      <w:r w:rsidR="00580A29">
        <w:t>1 at Table 4-23 (Original Application)</w:t>
      </w:r>
      <w:r w:rsidR="00BC63CC">
        <w:t xml:space="preserve">; </w:t>
      </w:r>
      <w:r w:rsidR="00BD430A">
        <w:t>Tr., vol 3, 372:5-12</w:t>
      </w:r>
      <w:r w:rsidR="00E712A7">
        <w:t>.</w:t>
      </w:r>
    </w:p>
  </w:footnote>
  <w:footnote w:id="49">
    <w:p w14:paraId="201AC2A8" w14:textId="6FF67B9F" w:rsidR="004F71DA" w:rsidRDefault="004F71DA">
      <w:pPr>
        <w:pStyle w:val="FootnoteText"/>
      </w:pPr>
      <w:r>
        <w:rPr>
          <w:rStyle w:val="FootnoteReference"/>
        </w:rPr>
        <w:footnoteRef/>
      </w:r>
      <w:r>
        <w:t xml:space="preserve"> </w:t>
      </w:r>
      <w:r w:rsidR="00DE7ECC" w:rsidRPr="003E6F08">
        <w:t xml:space="preserve">CPS </w:t>
      </w:r>
      <w:r w:rsidR="00580A29">
        <w:t xml:space="preserve">Energy Ex. 6 at </w:t>
      </w:r>
      <w:r w:rsidR="007776C0">
        <w:t>Table 4-23</w:t>
      </w:r>
      <w:r w:rsidR="00580A29">
        <w:t xml:space="preserve"> (Amended Application)</w:t>
      </w:r>
      <w:r w:rsidR="00E227D2">
        <w:t xml:space="preserve">; </w:t>
      </w:r>
      <w:r w:rsidR="00C46F6A">
        <w:t>CPS Energy Ex. 15 at 6 (</w:t>
      </w:r>
      <w:r w:rsidR="00E227D2">
        <w:t xml:space="preserve">Meaux </w:t>
      </w:r>
      <w:r w:rsidR="00E712A7">
        <w:t>Rebuttal</w:t>
      </w:r>
      <w:r w:rsidR="00C46F6A">
        <w:t>)</w:t>
      </w:r>
      <w:r w:rsidR="00E227D2">
        <w:t>.</w:t>
      </w:r>
      <w:r w:rsidR="004B78E3">
        <w:t xml:space="preserve"> </w:t>
      </w:r>
    </w:p>
  </w:footnote>
  <w:footnote w:id="50">
    <w:p w14:paraId="1BF938FB" w14:textId="13D1C4F8" w:rsidR="00385C10" w:rsidRDefault="00385C10">
      <w:pPr>
        <w:pStyle w:val="FootnoteText"/>
      </w:pPr>
      <w:r>
        <w:rPr>
          <w:rStyle w:val="FootnoteReference"/>
        </w:rPr>
        <w:footnoteRef/>
      </w:r>
      <w:r>
        <w:t xml:space="preserve"> </w:t>
      </w:r>
      <w:r w:rsidR="00580A29">
        <w:t>Tr</w:t>
      </w:r>
      <w:r w:rsidR="00AF29E5">
        <w:t>. at</w:t>
      </w:r>
      <w:r w:rsidR="00580A29">
        <w:t xml:space="preserve"> </w:t>
      </w:r>
      <w:r w:rsidR="000331EC">
        <w:t>376:8-20</w:t>
      </w:r>
      <w:r w:rsidR="00FA025B">
        <w:t xml:space="preserve"> (CPS Panel Cross)</w:t>
      </w:r>
      <w:r w:rsidR="00AF29E5">
        <w:t xml:space="preserve"> (May 4, 2021)</w:t>
      </w:r>
      <w:r w:rsidR="00EF5195">
        <w:t>;</w:t>
      </w:r>
      <w:r w:rsidR="000331EC">
        <w:t xml:space="preserve">  AS </w:t>
      </w:r>
      <w:r w:rsidR="00EF5195">
        <w:t>Ex.</w:t>
      </w:r>
      <w:r w:rsidR="000331EC">
        <w:t xml:space="preserve"> 13</w:t>
      </w:r>
      <w:r w:rsidR="00EF5195">
        <w:t>, Bexar Response to Anaqua RFI 1-4;</w:t>
      </w:r>
      <w:r w:rsidR="000331EC">
        <w:t xml:space="preserve"> </w:t>
      </w:r>
      <w:r w:rsidR="00EF5195">
        <w:t>AS Ex. 1</w:t>
      </w:r>
      <w:r w:rsidR="000331EC">
        <w:t>4</w:t>
      </w:r>
      <w:r w:rsidR="00EF5195">
        <w:t>, Bexar Response to Anaqua RFI 1-5.</w:t>
      </w:r>
    </w:p>
  </w:footnote>
  <w:footnote w:id="51">
    <w:p w14:paraId="2B6A5E0F" w14:textId="6EB67F7C" w:rsidR="00042E70" w:rsidRDefault="00042E70" w:rsidP="00042E70">
      <w:pPr>
        <w:pStyle w:val="FootnoteText"/>
      </w:pPr>
      <w:r>
        <w:rPr>
          <w:rStyle w:val="FootnoteReference"/>
        </w:rPr>
        <w:footnoteRef/>
      </w:r>
      <w:r>
        <w:t xml:space="preserve"> Tr</w:t>
      </w:r>
      <w:r w:rsidR="00AF29E5">
        <w:t>. at</w:t>
      </w:r>
      <w:r>
        <w:t xml:space="preserve"> 408:20-409:10</w:t>
      </w:r>
      <w:r w:rsidR="00AF29E5">
        <w:t xml:space="preserve"> </w:t>
      </w:r>
      <w:r w:rsidR="00FA025B">
        <w:t xml:space="preserve">(CPS Panel Cross) </w:t>
      </w:r>
      <w:r w:rsidR="00AF29E5">
        <w:t>(May 4, 2021)</w:t>
      </w:r>
      <w:r>
        <w:t>.</w:t>
      </w:r>
    </w:p>
  </w:footnote>
  <w:footnote w:id="52">
    <w:p w14:paraId="5927D512" w14:textId="6AD461FB" w:rsidR="006507F0" w:rsidRDefault="006507F0">
      <w:pPr>
        <w:pStyle w:val="FootnoteText"/>
      </w:pPr>
      <w:r>
        <w:rPr>
          <w:rStyle w:val="FootnoteReference"/>
        </w:rPr>
        <w:footnoteRef/>
      </w:r>
      <w:r>
        <w:t xml:space="preserve"> Tr</w:t>
      </w:r>
      <w:r w:rsidR="00AF29E5">
        <w:t>. at</w:t>
      </w:r>
      <w:r>
        <w:t xml:space="preserve"> 701:4-23</w:t>
      </w:r>
      <w:r w:rsidR="00FA025B">
        <w:t xml:space="preserve"> (Clark Cross)</w:t>
      </w:r>
      <w:r w:rsidR="00AF29E5">
        <w:t xml:space="preserve"> (May 5, 2021)</w:t>
      </w:r>
      <w:r>
        <w:t>.</w:t>
      </w:r>
    </w:p>
  </w:footnote>
  <w:footnote w:id="53">
    <w:p w14:paraId="345FD678" w14:textId="76D39FD3" w:rsidR="000332E0" w:rsidRDefault="000332E0">
      <w:pPr>
        <w:pStyle w:val="FootnoteText"/>
      </w:pPr>
      <w:r>
        <w:rPr>
          <w:rStyle w:val="FootnoteReference"/>
        </w:rPr>
        <w:footnoteRef/>
      </w:r>
      <w:r>
        <w:t xml:space="preserve"> Joint Motion for Referral of Certified Issues and Request for Expedited Ruling </w:t>
      </w:r>
      <w:r w:rsidR="00B35F5B">
        <w:t xml:space="preserve">at 3 </w:t>
      </w:r>
      <w:r>
        <w:t>(Feb. 24, 2021).</w:t>
      </w:r>
    </w:p>
  </w:footnote>
  <w:footnote w:id="54">
    <w:p w14:paraId="12054CB6" w14:textId="7F8217F4" w:rsidR="008E2934" w:rsidRDefault="008E2934">
      <w:pPr>
        <w:pStyle w:val="FootnoteText"/>
      </w:pPr>
      <w:r>
        <w:rPr>
          <w:rStyle w:val="FootnoteReference"/>
        </w:rPr>
        <w:footnoteRef/>
      </w:r>
      <w:r>
        <w:t xml:space="preserve"> </w:t>
      </w:r>
      <w:r w:rsidR="00C46F6A">
        <w:t>CPS Energy Ex. 15 at 10:18 – 11:3 (</w:t>
      </w:r>
      <w:r w:rsidR="00BA7DEC">
        <w:t>Meaux Rebuttal</w:t>
      </w:r>
      <w:r w:rsidR="00C46F6A">
        <w:t>)</w:t>
      </w:r>
      <w:r>
        <w:t>; Tr.</w:t>
      </w:r>
      <w:r w:rsidR="00FA025B">
        <w:t xml:space="preserve"> at </w:t>
      </w:r>
      <w:r w:rsidR="000E0611">
        <w:t>836:25-837:22</w:t>
      </w:r>
      <w:r w:rsidR="00FA025B">
        <w:t xml:space="preserve"> (CPS Panel Cross) (May 5, 2021)</w:t>
      </w:r>
      <w:r>
        <w:t>.</w:t>
      </w:r>
    </w:p>
  </w:footnote>
  <w:footnote w:id="55">
    <w:p w14:paraId="4F223C54" w14:textId="4DD2592E" w:rsidR="008E2934" w:rsidRDefault="008E2934">
      <w:pPr>
        <w:pStyle w:val="FootnoteText"/>
      </w:pPr>
      <w:r>
        <w:rPr>
          <w:rStyle w:val="FootnoteReference"/>
        </w:rPr>
        <w:footnoteRef/>
      </w:r>
      <w:r>
        <w:t xml:space="preserve"> </w:t>
      </w:r>
      <w:r w:rsidR="00EC1DC8">
        <w:t>Tr</w:t>
      </w:r>
      <w:r w:rsidR="00AF29E5">
        <w:t>. at</w:t>
      </w:r>
      <w:r w:rsidR="00EC1DC8">
        <w:t xml:space="preserve"> 516:20 – 517:5</w:t>
      </w:r>
      <w:r w:rsidR="00AF29E5">
        <w:t xml:space="preserve"> </w:t>
      </w:r>
      <w:r w:rsidR="00FA025B">
        <w:t xml:space="preserve">(CPS Panel Cross) </w:t>
      </w:r>
      <w:r w:rsidR="00AF29E5">
        <w:t>(May 4, 2021)</w:t>
      </w:r>
      <w:r w:rsidR="00EC1DC8">
        <w:t>.</w:t>
      </w:r>
    </w:p>
  </w:footnote>
  <w:footnote w:id="56">
    <w:p w14:paraId="0884FD4D" w14:textId="6F4D2A7D" w:rsidR="00EC1DC8" w:rsidRDefault="00EC1DC8">
      <w:pPr>
        <w:pStyle w:val="FootnoteText"/>
      </w:pPr>
      <w:r>
        <w:rPr>
          <w:rStyle w:val="FootnoteReference"/>
        </w:rPr>
        <w:footnoteRef/>
      </w:r>
      <w:r>
        <w:t xml:space="preserve"> </w:t>
      </w:r>
      <w:r w:rsidR="00E00D0B">
        <w:t>Tr</w:t>
      </w:r>
      <w:r w:rsidR="00AF29E5">
        <w:t>. at</w:t>
      </w:r>
      <w:r w:rsidR="00E00D0B">
        <w:t xml:space="preserve"> </w:t>
      </w:r>
      <w:r w:rsidR="0096714C">
        <w:t>374-375:9</w:t>
      </w:r>
      <w:r w:rsidR="00AF29E5">
        <w:t xml:space="preserve"> </w:t>
      </w:r>
      <w:r w:rsidR="00FA025B">
        <w:t xml:space="preserve">(CPS Panel Cross) </w:t>
      </w:r>
      <w:r w:rsidR="00AF29E5">
        <w:t>(May 4, 2021)</w:t>
      </w:r>
      <w:r w:rsidR="00DE1EAF">
        <w:t xml:space="preserve">; </w:t>
      </w:r>
      <w:r w:rsidR="007F6F8A">
        <w:t>CPS Energy Ex. 1</w:t>
      </w:r>
      <w:r w:rsidR="00DE1EAF">
        <w:t xml:space="preserve"> at Table 4-23, Alternative Route (showing the</w:t>
      </w:r>
      <w:r w:rsidR="0061287F">
        <w:t xml:space="preserve"> </w:t>
      </w:r>
      <w:r w:rsidR="00DE1EAF">
        <w:t>only habitable structure on the route as number 134 on Segment 43)</w:t>
      </w:r>
      <w:r w:rsidR="007F6F8A">
        <w:t xml:space="preserve"> (Original Application)</w:t>
      </w:r>
      <w:r w:rsidR="00DE1EAF">
        <w:t>.</w:t>
      </w:r>
      <w:r w:rsidR="00304EEC">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47426E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5CE183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07A812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7849D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7C2C3C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78C636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8A634B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1809D2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F6611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E0FB0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E0451D"/>
    <w:multiLevelType w:val="hybridMultilevel"/>
    <w:tmpl w:val="127A42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3367A0"/>
    <w:multiLevelType w:val="hybridMultilevel"/>
    <w:tmpl w:val="2B861190"/>
    <w:lvl w:ilvl="0" w:tplc="56D45AB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954EEE"/>
    <w:multiLevelType w:val="hybridMultilevel"/>
    <w:tmpl w:val="F508D678"/>
    <w:lvl w:ilvl="0" w:tplc="A65EF5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AE10427"/>
    <w:multiLevelType w:val="multilevel"/>
    <w:tmpl w:val="4D066FBC"/>
    <w:lvl w:ilvl="0">
      <w:start w:val="1"/>
      <w:numFmt w:val="upperRoman"/>
      <w:pStyle w:val="CROutline1"/>
      <w:lvlText w:val="%1."/>
      <w:lvlJc w:val="left"/>
      <w:pPr>
        <w:tabs>
          <w:tab w:val="num" w:pos="1152"/>
        </w:tabs>
        <w:ind w:left="1152" w:hanging="720"/>
      </w:pPr>
      <w:rPr>
        <w:rFonts w:hint="default"/>
      </w:rPr>
    </w:lvl>
    <w:lvl w:ilvl="1">
      <w:start w:val="1"/>
      <w:numFmt w:val="upperLetter"/>
      <w:pStyle w:val="CROutline2"/>
      <w:lvlText w:val="%2."/>
      <w:lvlJc w:val="left"/>
      <w:pPr>
        <w:tabs>
          <w:tab w:val="num" w:pos="1152"/>
        </w:tabs>
        <w:ind w:left="1872" w:hanging="720"/>
      </w:pPr>
      <w:rPr>
        <w:rFonts w:hint="default"/>
      </w:rPr>
    </w:lvl>
    <w:lvl w:ilvl="2">
      <w:start w:val="1"/>
      <w:numFmt w:val="decimal"/>
      <w:pStyle w:val="CROutline3"/>
      <w:lvlText w:val="%3."/>
      <w:lvlJc w:val="left"/>
      <w:pPr>
        <w:tabs>
          <w:tab w:val="num" w:pos="1152"/>
        </w:tabs>
        <w:ind w:left="2592" w:hanging="720"/>
      </w:pPr>
      <w:rPr>
        <w:rFonts w:hint="default"/>
      </w:rPr>
    </w:lvl>
    <w:lvl w:ilvl="3">
      <w:start w:val="1"/>
      <w:numFmt w:val="lowerLetter"/>
      <w:pStyle w:val="CROutline4"/>
      <w:lvlText w:val="%4."/>
      <w:lvlJc w:val="left"/>
      <w:pPr>
        <w:tabs>
          <w:tab w:val="num" w:pos="1152"/>
        </w:tabs>
        <w:ind w:left="3312" w:hanging="720"/>
      </w:pPr>
      <w:rPr>
        <w:rFonts w:hint="default"/>
      </w:rPr>
    </w:lvl>
    <w:lvl w:ilvl="4">
      <w:start w:val="1"/>
      <w:numFmt w:val="decimal"/>
      <w:lvlText w:val="(%5)"/>
      <w:lvlJc w:val="left"/>
      <w:pPr>
        <w:tabs>
          <w:tab w:val="num" w:pos="1152"/>
        </w:tabs>
        <w:ind w:left="4032" w:hanging="720"/>
      </w:pPr>
      <w:rPr>
        <w:rFonts w:hint="default"/>
      </w:rPr>
    </w:lvl>
    <w:lvl w:ilvl="5">
      <w:start w:val="1"/>
      <w:numFmt w:val="lowerLetter"/>
      <w:lvlText w:val="(%6)"/>
      <w:lvlJc w:val="left"/>
      <w:pPr>
        <w:tabs>
          <w:tab w:val="num" w:pos="1152"/>
        </w:tabs>
        <w:ind w:left="4752" w:hanging="720"/>
      </w:pPr>
      <w:rPr>
        <w:rFonts w:hint="default"/>
      </w:rPr>
    </w:lvl>
    <w:lvl w:ilvl="6">
      <w:start w:val="1"/>
      <w:numFmt w:val="lowerRoman"/>
      <w:lvlText w:val="%7)"/>
      <w:lvlJc w:val="left"/>
      <w:pPr>
        <w:tabs>
          <w:tab w:val="num" w:pos="1152"/>
        </w:tabs>
        <w:ind w:left="5472" w:hanging="720"/>
      </w:pPr>
      <w:rPr>
        <w:rFonts w:hint="default"/>
      </w:rPr>
    </w:lvl>
    <w:lvl w:ilvl="7">
      <w:start w:val="1"/>
      <w:numFmt w:val="lowerLetter"/>
      <w:lvlText w:val="%8)"/>
      <w:lvlJc w:val="left"/>
      <w:pPr>
        <w:tabs>
          <w:tab w:val="num" w:pos="1152"/>
        </w:tabs>
        <w:ind w:left="6192" w:hanging="720"/>
      </w:pPr>
      <w:rPr>
        <w:rFonts w:hint="default"/>
      </w:rPr>
    </w:lvl>
    <w:lvl w:ilvl="8">
      <w:start w:val="1"/>
      <w:numFmt w:val="decimal"/>
      <w:lvlText w:val="%9)"/>
      <w:lvlJc w:val="left"/>
      <w:pPr>
        <w:tabs>
          <w:tab w:val="num" w:pos="1152"/>
        </w:tabs>
        <w:ind w:left="6912" w:hanging="720"/>
      </w:pPr>
      <w:rPr>
        <w:rFonts w:hint="default"/>
      </w:rPr>
    </w:lvl>
  </w:abstractNum>
  <w:abstractNum w:abstractNumId="14" w15:restartNumberingAfterBreak="0">
    <w:nsid w:val="553A5AC8"/>
    <w:multiLevelType w:val="hybridMultilevel"/>
    <w:tmpl w:val="485A1F82"/>
    <w:lvl w:ilvl="0" w:tplc="B73E6B7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7BE34D6"/>
    <w:multiLevelType w:val="hybridMultilevel"/>
    <w:tmpl w:val="5A9475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 w:numId="13">
    <w:abstractNumId w:val="12"/>
  </w:num>
  <w:num w:numId="14">
    <w:abstractNumId w:val="10"/>
  </w:num>
  <w:num w:numId="15">
    <w:abstractNumId w:val="15"/>
  </w:num>
  <w:num w:numId="16">
    <w:abstractNumId w:val="13"/>
  </w:num>
  <w:num w:numId="17">
    <w:abstractNumId w:val="13"/>
  </w:num>
  <w:num w:numId="18">
    <w:abstractNumId w:val="13"/>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9E"/>
    <w:rsid w:val="00000B35"/>
    <w:rsid w:val="00005E63"/>
    <w:rsid w:val="00011F9E"/>
    <w:rsid w:val="0001451F"/>
    <w:rsid w:val="00015431"/>
    <w:rsid w:val="00015ED1"/>
    <w:rsid w:val="00022E09"/>
    <w:rsid w:val="00023758"/>
    <w:rsid w:val="00023A6C"/>
    <w:rsid w:val="00031A66"/>
    <w:rsid w:val="000331EC"/>
    <w:rsid w:val="000332E0"/>
    <w:rsid w:val="000373BA"/>
    <w:rsid w:val="000412C5"/>
    <w:rsid w:val="00042E70"/>
    <w:rsid w:val="000432A3"/>
    <w:rsid w:val="00045B87"/>
    <w:rsid w:val="00046C57"/>
    <w:rsid w:val="0004720B"/>
    <w:rsid w:val="0005240A"/>
    <w:rsid w:val="000556A9"/>
    <w:rsid w:val="00057A53"/>
    <w:rsid w:val="00062D41"/>
    <w:rsid w:val="000658A1"/>
    <w:rsid w:val="00066940"/>
    <w:rsid w:val="00070102"/>
    <w:rsid w:val="00070487"/>
    <w:rsid w:val="00073D7E"/>
    <w:rsid w:val="00076C58"/>
    <w:rsid w:val="00081D50"/>
    <w:rsid w:val="00081F8B"/>
    <w:rsid w:val="000A42E5"/>
    <w:rsid w:val="000B6023"/>
    <w:rsid w:val="000C23A7"/>
    <w:rsid w:val="000C7A01"/>
    <w:rsid w:val="000C7E3F"/>
    <w:rsid w:val="000D2D3F"/>
    <w:rsid w:val="000D6919"/>
    <w:rsid w:val="000D706B"/>
    <w:rsid w:val="000D7FA8"/>
    <w:rsid w:val="000E0611"/>
    <w:rsid w:val="000E3EFE"/>
    <w:rsid w:val="0010231C"/>
    <w:rsid w:val="0010399B"/>
    <w:rsid w:val="00113B88"/>
    <w:rsid w:val="00115801"/>
    <w:rsid w:val="001202EC"/>
    <w:rsid w:val="00120D6E"/>
    <w:rsid w:val="00120D8F"/>
    <w:rsid w:val="00133DB0"/>
    <w:rsid w:val="00134B94"/>
    <w:rsid w:val="00137E66"/>
    <w:rsid w:val="0014581F"/>
    <w:rsid w:val="00146AE8"/>
    <w:rsid w:val="0015526E"/>
    <w:rsid w:val="00161C80"/>
    <w:rsid w:val="001649A7"/>
    <w:rsid w:val="00175B10"/>
    <w:rsid w:val="001808E6"/>
    <w:rsid w:val="001825A0"/>
    <w:rsid w:val="00182A45"/>
    <w:rsid w:val="00184B3D"/>
    <w:rsid w:val="00185FBA"/>
    <w:rsid w:val="00191924"/>
    <w:rsid w:val="001935A7"/>
    <w:rsid w:val="00195F40"/>
    <w:rsid w:val="00197E13"/>
    <w:rsid w:val="001B3E24"/>
    <w:rsid w:val="001B7E60"/>
    <w:rsid w:val="001C6763"/>
    <w:rsid w:val="001D0867"/>
    <w:rsid w:val="001D48DA"/>
    <w:rsid w:val="001E73F0"/>
    <w:rsid w:val="001E7CAB"/>
    <w:rsid w:val="001F22F2"/>
    <w:rsid w:val="001F51A1"/>
    <w:rsid w:val="0020694A"/>
    <w:rsid w:val="0021674E"/>
    <w:rsid w:val="00220FE5"/>
    <w:rsid w:val="00225747"/>
    <w:rsid w:val="00247FF7"/>
    <w:rsid w:val="00251BB0"/>
    <w:rsid w:val="00253BAF"/>
    <w:rsid w:val="0026341C"/>
    <w:rsid w:val="0026462F"/>
    <w:rsid w:val="00265039"/>
    <w:rsid w:val="00284CF9"/>
    <w:rsid w:val="00285E80"/>
    <w:rsid w:val="0029219B"/>
    <w:rsid w:val="002A1BCA"/>
    <w:rsid w:val="002A3A3B"/>
    <w:rsid w:val="002A4B27"/>
    <w:rsid w:val="002B3C08"/>
    <w:rsid w:val="002C0A6A"/>
    <w:rsid w:val="002C14A6"/>
    <w:rsid w:val="002D12DC"/>
    <w:rsid w:val="002D43A8"/>
    <w:rsid w:val="002D54A7"/>
    <w:rsid w:val="002E0CDC"/>
    <w:rsid w:val="002E17D0"/>
    <w:rsid w:val="002E2ED1"/>
    <w:rsid w:val="002E4724"/>
    <w:rsid w:val="002E6002"/>
    <w:rsid w:val="00304537"/>
    <w:rsid w:val="00304EEC"/>
    <w:rsid w:val="003172DC"/>
    <w:rsid w:val="00324BA3"/>
    <w:rsid w:val="00334552"/>
    <w:rsid w:val="00337A55"/>
    <w:rsid w:val="0035138B"/>
    <w:rsid w:val="00354A0F"/>
    <w:rsid w:val="00360A9D"/>
    <w:rsid w:val="003624AD"/>
    <w:rsid w:val="00365BDE"/>
    <w:rsid w:val="00367B08"/>
    <w:rsid w:val="00370CEB"/>
    <w:rsid w:val="00377499"/>
    <w:rsid w:val="003814A1"/>
    <w:rsid w:val="00382CB4"/>
    <w:rsid w:val="0038369B"/>
    <w:rsid w:val="00385C10"/>
    <w:rsid w:val="00390137"/>
    <w:rsid w:val="00391661"/>
    <w:rsid w:val="00396663"/>
    <w:rsid w:val="003A0943"/>
    <w:rsid w:val="003A17EF"/>
    <w:rsid w:val="003A333F"/>
    <w:rsid w:val="003A3D43"/>
    <w:rsid w:val="003A65A3"/>
    <w:rsid w:val="003A7EAA"/>
    <w:rsid w:val="003B041C"/>
    <w:rsid w:val="003B6644"/>
    <w:rsid w:val="003C502E"/>
    <w:rsid w:val="003D1585"/>
    <w:rsid w:val="003E2EC4"/>
    <w:rsid w:val="003E3D32"/>
    <w:rsid w:val="003E6F08"/>
    <w:rsid w:val="003E758C"/>
    <w:rsid w:val="003E7E1A"/>
    <w:rsid w:val="00404C3D"/>
    <w:rsid w:val="004122C9"/>
    <w:rsid w:val="00414D1D"/>
    <w:rsid w:val="00416BD7"/>
    <w:rsid w:val="00420709"/>
    <w:rsid w:val="004209FC"/>
    <w:rsid w:val="00422211"/>
    <w:rsid w:val="004244FA"/>
    <w:rsid w:val="004311F0"/>
    <w:rsid w:val="00436F57"/>
    <w:rsid w:val="00446FEC"/>
    <w:rsid w:val="00447F8F"/>
    <w:rsid w:val="00450ADB"/>
    <w:rsid w:val="00454DA5"/>
    <w:rsid w:val="00455FA1"/>
    <w:rsid w:val="00456D6C"/>
    <w:rsid w:val="00474BE2"/>
    <w:rsid w:val="00475EFF"/>
    <w:rsid w:val="00480DCE"/>
    <w:rsid w:val="0048607F"/>
    <w:rsid w:val="00490887"/>
    <w:rsid w:val="004916A7"/>
    <w:rsid w:val="0049225C"/>
    <w:rsid w:val="004A034D"/>
    <w:rsid w:val="004A46D8"/>
    <w:rsid w:val="004A633B"/>
    <w:rsid w:val="004B03C9"/>
    <w:rsid w:val="004B332F"/>
    <w:rsid w:val="004B78E3"/>
    <w:rsid w:val="004C4306"/>
    <w:rsid w:val="004C5459"/>
    <w:rsid w:val="004D319E"/>
    <w:rsid w:val="004D5E52"/>
    <w:rsid w:val="004E35FD"/>
    <w:rsid w:val="004F08F9"/>
    <w:rsid w:val="004F71DA"/>
    <w:rsid w:val="00507A39"/>
    <w:rsid w:val="005135C1"/>
    <w:rsid w:val="005144C2"/>
    <w:rsid w:val="00516DD6"/>
    <w:rsid w:val="005241F0"/>
    <w:rsid w:val="005256E4"/>
    <w:rsid w:val="0052713B"/>
    <w:rsid w:val="0053065A"/>
    <w:rsid w:val="00531070"/>
    <w:rsid w:val="00531666"/>
    <w:rsid w:val="00543B3C"/>
    <w:rsid w:val="005611E8"/>
    <w:rsid w:val="005635B4"/>
    <w:rsid w:val="00564C61"/>
    <w:rsid w:val="00574209"/>
    <w:rsid w:val="00580A29"/>
    <w:rsid w:val="00583171"/>
    <w:rsid w:val="00584CB0"/>
    <w:rsid w:val="00591C02"/>
    <w:rsid w:val="005970C1"/>
    <w:rsid w:val="00597375"/>
    <w:rsid w:val="00597A83"/>
    <w:rsid w:val="005A69A2"/>
    <w:rsid w:val="005B0B26"/>
    <w:rsid w:val="005C5490"/>
    <w:rsid w:val="005D38DF"/>
    <w:rsid w:val="005D6FC1"/>
    <w:rsid w:val="005D70D1"/>
    <w:rsid w:val="005F04AA"/>
    <w:rsid w:val="005F20A3"/>
    <w:rsid w:val="005F2557"/>
    <w:rsid w:val="005F26DF"/>
    <w:rsid w:val="005F3EB7"/>
    <w:rsid w:val="005F4019"/>
    <w:rsid w:val="005F4027"/>
    <w:rsid w:val="005F5626"/>
    <w:rsid w:val="005F65A0"/>
    <w:rsid w:val="006042CA"/>
    <w:rsid w:val="006116F4"/>
    <w:rsid w:val="0061287F"/>
    <w:rsid w:val="00613C07"/>
    <w:rsid w:val="006151E0"/>
    <w:rsid w:val="00615457"/>
    <w:rsid w:val="0061619E"/>
    <w:rsid w:val="00625164"/>
    <w:rsid w:val="00627BA3"/>
    <w:rsid w:val="00631588"/>
    <w:rsid w:val="00642031"/>
    <w:rsid w:val="006507F0"/>
    <w:rsid w:val="00653A9A"/>
    <w:rsid w:val="00654742"/>
    <w:rsid w:val="006608FF"/>
    <w:rsid w:val="00661820"/>
    <w:rsid w:val="00663164"/>
    <w:rsid w:val="006642B3"/>
    <w:rsid w:val="00665826"/>
    <w:rsid w:val="006679E1"/>
    <w:rsid w:val="00667A97"/>
    <w:rsid w:val="0067043C"/>
    <w:rsid w:val="00675E82"/>
    <w:rsid w:val="0067794D"/>
    <w:rsid w:val="00684FF9"/>
    <w:rsid w:val="006A0C98"/>
    <w:rsid w:val="006A246A"/>
    <w:rsid w:val="006A4883"/>
    <w:rsid w:val="006A6A6A"/>
    <w:rsid w:val="006B266B"/>
    <w:rsid w:val="006B329D"/>
    <w:rsid w:val="006B3F3F"/>
    <w:rsid w:val="006D0690"/>
    <w:rsid w:val="006D2C08"/>
    <w:rsid w:val="006D77D4"/>
    <w:rsid w:val="006E5E87"/>
    <w:rsid w:val="006E5F92"/>
    <w:rsid w:val="006F02A8"/>
    <w:rsid w:val="006F7F41"/>
    <w:rsid w:val="007015B0"/>
    <w:rsid w:val="00705741"/>
    <w:rsid w:val="00705D50"/>
    <w:rsid w:val="0071224F"/>
    <w:rsid w:val="007163B6"/>
    <w:rsid w:val="007234DB"/>
    <w:rsid w:val="00723A67"/>
    <w:rsid w:val="00731265"/>
    <w:rsid w:val="007378D7"/>
    <w:rsid w:val="0074048C"/>
    <w:rsid w:val="00741985"/>
    <w:rsid w:val="00746527"/>
    <w:rsid w:val="00746D10"/>
    <w:rsid w:val="00747610"/>
    <w:rsid w:val="007505F0"/>
    <w:rsid w:val="00754CB6"/>
    <w:rsid w:val="00757D3F"/>
    <w:rsid w:val="00765D4A"/>
    <w:rsid w:val="007708DC"/>
    <w:rsid w:val="00773254"/>
    <w:rsid w:val="007776C0"/>
    <w:rsid w:val="0078065D"/>
    <w:rsid w:val="00782CD1"/>
    <w:rsid w:val="00784865"/>
    <w:rsid w:val="00785BF4"/>
    <w:rsid w:val="00790C28"/>
    <w:rsid w:val="007915F4"/>
    <w:rsid w:val="00792A96"/>
    <w:rsid w:val="00797049"/>
    <w:rsid w:val="007A01A5"/>
    <w:rsid w:val="007A2880"/>
    <w:rsid w:val="007A71A1"/>
    <w:rsid w:val="007B25CD"/>
    <w:rsid w:val="007C21B6"/>
    <w:rsid w:val="007C4F91"/>
    <w:rsid w:val="007C5A37"/>
    <w:rsid w:val="007C6D73"/>
    <w:rsid w:val="007D0661"/>
    <w:rsid w:val="007E5905"/>
    <w:rsid w:val="007E6A5E"/>
    <w:rsid w:val="007E7F72"/>
    <w:rsid w:val="007F40CA"/>
    <w:rsid w:val="007F6C9A"/>
    <w:rsid w:val="007F6F8A"/>
    <w:rsid w:val="0080421E"/>
    <w:rsid w:val="00805985"/>
    <w:rsid w:val="00812BE2"/>
    <w:rsid w:val="00816C28"/>
    <w:rsid w:val="00816D07"/>
    <w:rsid w:val="008202F1"/>
    <w:rsid w:val="00823C23"/>
    <w:rsid w:val="0083379C"/>
    <w:rsid w:val="00837665"/>
    <w:rsid w:val="00846FC9"/>
    <w:rsid w:val="008477CF"/>
    <w:rsid w:val="00853057"/>
    <w:rsid w:val="008612CF"/>
    <w:rsid w:val="00867B1F"/>
    <w:rsid w:val="008817E1"/>
    <w:rsid w:val="008830D7"/>
    <w:rsid w:val="00891426"/>
    <w:rsid w:val="008A04DA"/>
    <w:rsid w:val="008A36F3"/>
    <w:rsid w:val="008A6CF6"/>
    <w:rsid w:val="008C387D"/>
    <w:rsid w:val="008C5C53"/>
    <w:rsid w:val="008C714A"/>
    <w:rsid w:val="008D4F26"/>
    <w:rsid w:val="008D6565"/>
    <w:rsid w:val="008D6CD7"/>
    <w:rsid w:val="008E0F93"/>
    <w:rsid w:val="008E19D9"/>
    <w:rsid w:val="008E2934"/>
    <w:rsid w:val="008F3B7D"/>
    <w:rsid w:val="00901781"/>
    <w:rsid w:val="009022E0"/>
    <w:rsid w:val="0090302B"/>
    <w:rsid w:val="009132C9"/>
    <w:rsid w:val="00914E8B"/>
    <w:rsid w:val="009169E1"/>
    <w:rsid w:val="00924169"/>
    <w:rsid w:val="009326A5"/>
    <w:rsid w:val="00941983"/>
    <w:rsid w:val="00943E8F"/>
    <w:rsid w:val="009567B5"/>
    <w:rsid w:val="00963A56"/>
    <w:rsid w:val="0096714C"/>
    <w:rsid w:val="009726CC"/>
    <w:rsid w:val="00974F88"/>
    <w:rsid w:val="009802FB"/>
    <w:rsid w:val="00987708"/>
    <w:rsid w:val="009A21C8"/>
    <w:rsid w:val="009A4589"/>
    <w:rsid w:val="009A45B9"/>
    <w:rsid w:val="009B39E3"/>
    <w:rsid w:val="009B3FFC"/>
    <w:rsid w:val="009B5518"/>
    <w:rsid w:val="009C1759"/>
    <w:rsid w:val="009D0C09"/>
    <w:rsid w:val="009D22D6"/>
    <w:rsid w:val="009D30B1"/>
    <w:rsid w:val="009D6628"/>
    <w:rsid w:val="009E0413"/>
    <w:rsid w:val="009E5BEB"/>
    <w:rsid w:val="009F2F08"/>
    <w:rsid w:val="00A00CEC"/>
    <w:rsid w:val="00A06BB1"/>
    <w:rsid w:val="00A10648"/>
    <w:rsid w:val="00A26A61"/>
    <w:rsid w:val="00A32623"/>
    <w:rsid w:val="00A33CD0"/>
    <w:rsid w:val="00A354D2"/>
    <w:rsid w:val="00A37B54"/>
    <w:rsid w:val="00A41C1B"/>
    <w:rsid w:val="00A5001F"/>
    <w:rsid w:val="00A523DF"/>
    <w:rsid w:val="00A526B6"/>
    <w:rsid w:val="00A60A0D"/>
    <w:rsid w:val="00A62CE8"/>
    <w:rsid w:val="00A63A33"/>
    <w:rsid w:val="00A646FE"/>
    <w:rsid w:val="00A6483A"/>
    <w:rsid w:val="00A64ABE"/>
    <w:rsid w:val="00A66AC9"/>
    <w:rsid w:val="00A73991"/>
    <w:rsid w:val="00A747AB"/>
    <w:rsid w:val="00A81FDB"/>
    <w:rsid w:val="00A9165C"/>
    <w:rsid w:val="00A94948"/>
    <w:rsid w:val="00A967D2"/>
    <w:rsid w:val="00AA1B8A"/>
    <w:rsid w:val="00AB14D6"/>
    <w:rsid w:val="00AB46C3"/>
    <w:rsid w:val="00AC113F"/>
    <w:rsid w:val="00AC545B"/>
    <w:rsid w:val="00AC7041"/>
    <w:rsid w:val="00AC798A"/>
    <w:rsid w:val="00AD4665"/>
    <w:rsid w:val="00AE6C9A"/>
    <w:rsid w:val="00AF29E5"/>
    <w:rsid w:val="00AF5993"/>
    <w:rsid w:val="00B051BA"/>
    <w:rsid w:val="00B13388"/>
    <w:rsid w:val="00B139AB"/>
    <w:rsid w:val="00B151DE"/>
    <w:rsid w:val="00B21BD0"/>
    <w:rsid w:val="00B233D6"/>
    <w:rsid w:val="00B24FE5"/>
    <w:rsid w:val="00B25FE1"/>
    <w:rsid w:val="00B2790F"/>
    <w:rsid w:val="00B35C00"/>
    <w:rsid w:val="00B35F5B"/>
    <w:rsid w:val="00B63743"/>
    <w:rsid w:val="00B64301"/>
    <w:rsid w:val="00B7027A"/>
    <w:rsid w:val="00B739F6"/>
    <w:rsid w:val="00B87DF5"/>
    <w:rsid w:val="00B9240F"/>
    <w:rsid w:val="00B94036"/>
    <w:rsid w:val="00BA42BA"/>
    <w:rsid w:val="00BA496D"/>
    <w:rsid w:val="00BA7DEC"/>
    <w:rsid w:val="00BB4188"/>
    <w:rsid w:val="00BC07CF"/>
    <w:rsid w:val="00BC3B72"/>
    <w:rsid w:val="00BC63CC"/>
    <w:rsid w:val="00BD430A"/>
    <w:rsid w:val="00BD59B4"/>
    <w:rsid w:val="00BE3521"/>
    <w:rsid w:val="00BE6D9D"/>
    <w:rsid w:val="00BF3B3A"/>
    <w:rsid w:val="00BF47AA"/>
    <w:rsid w:val="00C02F40"/>
    <w:rsid w:val="00C146FF"/>
    <w:rsid w:val="00C17F99"/>
    <w:rsid w:val="00C22F0C"/>
    <w:rsid w:val="00C23542"/>
    <w:rsid w:val="00C24CA3"/>
    <w:rsid w:val="00C25D11"/>
    <w:rsid w:val="00C27766"/>
    <w:rsid w:val="00C34CB0"/>
    <w:rsid w:val="00C36022"/>
    <w:rsid w:val="00C456C1"/>
    <w:rsid w:val="00C46F6A"/>
    <w:rsid w:val="00C47402"/>
    <w:rsid w:val="00C5246F"/>
    <w:rsid w:val="00C60F88"/>
    <w:rsid w:val="00C6630A"/>
    <w:rsid w:val="00C7508A"/>
    <w:rsid w:val="00C764D1"/>
    <w:rsid w:val="00C76A5F"/>
    <w:rsid w:val="00C809A7"/>
    <w:rsid w:val="00C824B1"/>
    <w:rsid w:val="00C86856"/>
    <w:rsid w:val="00C91196"/>
    <w:rsid w:val="00C91F09"/>
    <w:rsid w:val="00C925A7"/>
    <w:rsid w:val="00C946C4"/>
    <w:rsid w:val="00C96189"/>
    <w:rsid w:val="00C9702A"/>
    <w:rsid w:val="00CA053D"/>
    <w:rsid w:val="00CA7E63"/>
    <w:rsid w:val="00CB34A9"/>
    <w:rsid w:val="00CB494A"/>
    <w:rsid w:val="00CB4D51"/>
    <w:rsid w:val="00CC3355"/>
    <w:rsid w:val="00CC4194"/>
    <w:rsid w:val="00CD34A8"/>
    <w:rsid w:val="00CD7A02"/>
    <w:rsid w:val="00CE33D6"/>
    <w:rsid w:val="00CE6076"/>
    <w:rsid w:val="00CF1250"/>
    <w:rsid w:val="00CF3130"/>
    <w:rsid w:val="00CF4231"/>
    <w:rsid w:val="00CF4AEC"/>
    <w:rsid w:val="00D0416C"/>
    <w:rsid w:val="00D0527C"/>
    <w:rsid w:val="00D14B29"/>
    <w:rsid w:val="00D22FAB"/>
    <w:rsid w:val="00D25768"/>
    <w:rsid w:val="00D26324"/>
    <w:rsid w:val="00D304C1"/>
    <w:rsid w:val="00D371A1"/>
    <w:rsid w:val="00D373B4"/>
    <w:rsid w:val="00D379DC"/>
    <w:rsid w:val="00D47ADF"/>
    <w:rsid w:val="00D517B0"/>
    <w:rsid w:val="00D53DCB"/>
    <w:rsid w:val="00D54230"/>
    <w:rsid w:val="00D714B0"/>
    <w:rsid w:val="00D72D67"/>
    <w:rsid w:val="00D73AA7"/>
    <w:rsid w:val="00D75B00"/>
    <w:rsid w:val="00D85751"/>
    <w:rsid w:val="00DA0B1A"/>
    <w:rsid w:val="00DA4456"/>
    <w:rsid w:val="00DC2860"/>
    <w:rsid w:val="00DD1F58"/>
    <w:rsid w:val="00DD2680"/>
    <w:rsid w:val="00DD6D13"/>
    <w:rsid w:val="00DE02BD"/>
    <w:rsid w:val="00DE1EAF"/>
    <w:rsid w:val="00DE7ECC"/>
    <w:rsid w:val="00DE7F17"/>
    <w:rsid w:val="00DF0A0B"/>
    <w:rsid w:val="00DF47F6"/>
    <w:rsid w:val="00DF5B8C"/>
    <w:rsid w:val="00DF6C5E"/>
    <w:rsid w:val="00E006A0"/>
    <w:rsid w:val="00E006B6"/>
    <w:rsid w:val="00E00D0B"/>
    <w:rsid w:val="00E03270"/>
    <w:rsid w:val="00E035BB"/>
    <w:rsid w:val="00E04986"/>
    <w:rsid w:val="00E0771B"/>
    <w:rsid w:val="00E153C9"/>
    <w:rsid w:val="00E227D2"/>
    <w:rsid w:val="00E22A1A"/>
    <w:rsid w:val="00E23340"/>
    <w:rsid w:val="00E413ED"/>
    <w:rsid w:val="00E4451C"/>
    <w:rsid w:val="00E55C69"/>
    <w:rsid w:val="00E62731"/>
    <w:rsid w:val="00E64387"/>
    <w:rsid w:val="00E66953"/>
    <w:rsid w:val="00E67A6C"/>
    <w:rsid w:val="00E67E3A"/>
    <w:rsid w:val="00E712A7"/>
    <w:rsid w:val="00E8362B"/>
    <w:rsid w:val="00E83D89"/>
    <w:rsid w:val="00E944E1"/>
    <w:rsid w:val="00EA0EB4"/>
    <w:rsid w:val="00EA423A"/>
    <w:rsid w:val="00EA6E8B"/>
    <w:rsid w:val="00EB160B"/>
    <w:rsid w:val="00EB33E9"/>
    <w:rsid w:val="00EB3CA7"/>
    <w:rsid w:val="00EB6A64"/>
    <w:rsid w:val="00EC1370"/>
    <w:rsid w:val="00EC1DC8"/>
    <w:rsid w:val="00EC2DCF"/>
    <w:rsid w:val="00EC3961"/>
    <w:rsid w:val="00EE2EEC"/>
    <w:rsid w:val="00EE5347"/>
    <w:rsid w:val="00EE67F1"/>
    <w:rsid w:val="00EF305E"/>
    <w:rsid w:val="00EF5195"/>
    <w:rsid w:val="00EF521A"/>
    <w:rsid w:val="00EF5534"/>
    <w:rsid w:val="00EF59FD"/>
    <w:rsid w:val="00F0221E"/>
    <w:rsid w:val="00F27DBE"/>
    <w:rsid w:val="00F31A23"/>
    <w:rsid w:val="00F36095"/>
    <w:rsid w:val="00F410EB"/>
    <w:rsid w:val="00F45B29"/>
    <w:rsid w:val="00F62296"/>
    <w:rsid w:val="00F629BD"/>
    <w:rsid w:val="00F714CD"/>
    <w:rsid w:val="00F7683F"/>
    <w:rsid w:val="00F80319"/>
    <w:rsid w:val="00F81AFD"/>
    <w:rsid w:val="00F877EB"/>
    <w:rsid w:val="00F92A5F"/>
    <w:rsid w:val="00FA025B"/>
    <w:rsid w:val="00FA173B"/>
    <w:rsid w:val="00FA2888"/>
    <w:rsid w:val="00FA2F8F"/>
    <w:rsid w:val="00FB502B"/>
    <w:rsid w:val="00FC4CBB"/>
    <w:rsid w:val="00FC5C58"/>
    <w:rsid w:val="00FD44AD"/>
    <w:rsid w:val="00FD6677"/>
    <w:rsid w:val="00FE191B"/>
    <w:rsid w:val="00FE6AA0"/>
    <w:rsid w:val="00FF2756"/>
    <w:rsid w:val="00FF60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A985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5B00"/>
    <w:rPr>
      <w:rFonts w:ascii="Times New Roman" w:hAnsi="Times New Roman"/>
      <w:sz w:val="24"/>
    </w:rPr>
  </w:style>
  <w:style w:type="paragraph" w:styleId="Heading1">
    <w:name w:val="heading 1"/>
    <w:basedOn w:val="Normal"/>
    <w:next w:val="Normal"/>
    <w:link w:val="Heading1Char"/>
    <w:uiPriority w:val="9"/>
    <w:qFormat/>
    <w:rsid w:val="00A66A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1619E"/>
    <w:pPr>
      <w:spacing w:after="0" w:line="240" w:lineRule="auto"/>
    </w:pPr>
    <w:rPr>
      <w:rFonts w:ascii="Times New Roman" w:eastAsia="Times New Roman" w:hAnsi="Times New Roman" w:cs="Times New Roman"/>
      <w:bC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B25CD"/>
    <w:rPr>
      <w:color w:val="0563C1" w:themeColor="hyperlink"/>
      <w:u w:val="single"/>
    </w:rPr>
  </w:style>
  <w:style w:type="character" w:styleId="UnresolvedMention">
    <w:name w:val="Unresolved Mention"/>
    <w:basedOn w:val="DefaultParagraphFont"/>
    <w:uiPriority w:val="99"/>
    <w:semiHidden/>
    <w:unhideWhenUsed/>
    <w:rsid w:val="007B25CD"/>
    <w:rPr>
      <w:color w:val="605E5C"/>
      <w:shd w:val="clear" w:color="auto" w:fill="E1DFDD"/>
    </w:rPr>
  </w:style>
  <w:style w:type="paragraph" w:styleId="ListParagraph">
    <w:name w:val="List Paragraph"/>
    <w:basedOn w:val="Normal"/>
    <w:uiPriority w:val="34"/>
    <w:qFormat/>
    <w:rsid w:val="00015ED1"/>
    <w:pPr>
      <w:ind w:left="720"/>
      <w:contextualSpacing/>
    </w:pPr>
  </w:style>
  <w:style w:type="paragraph" w:styleId="FootnoteText">
    <w:name w:val="footnote text"/>
    <w:basedOn w:val="Normal"/>
    <w:link w:val="FootnoteTextChar"/>
    <w:uiPriority w:val="99"/>
    <w:semiHidden/>
    <w:unhideWhenUsed/>
    <w:rsid w:val="00134B94"/>
    <w:pPr>
      <w:spacing w:after="120" w:line="240" w:lineRule="auto"/>
      <w:ind w:firstLine="720"/>
      <w:jc w:val="both"/>
    </w:pPr>
    <w:rPr>
      <w:sz w:val="20"/>
      <w:szCs w:val="20"/>
    </w:rPr>
  </w:style>
  <w:style w:type="character" w:customStyle="1" w:styleId="FootnoteTextChar">
    <w:name w:val="Footnote Text Char"/>
    <w:basedOn w:val="DefaultParagraphFont"/>
    <w:link w:val="FootnoteText"/>
    <w:uiPriority w:val="99"/>
    <w:semiHidden/>
    <w:rsid w:val="00134B94"/>
    <w:rPr>
      <w:rFonts w:ascii="Times New Roman" w:hAnsi="Times New Roman"/>
      <w:sz w:val="20"/>
      <w:szCs w:val="20"/>
    </w:rPr>
  </w:style>
  <w:style w:type="character" w:styleId="FootnoteReference">
    <w:name w:val="footnote reference"/>
    <w:basedOn w:val="DefaultParagraphFont"/>
    <w:uiPriority w:val="99"/>
    <w:semiHidden/>
    <w:unhideWhenUsed/>
    <w:rsid w:val="00EF521A"/>
    <w:rPr>
      <w:rFonts w:ascii="Times New Roman" w:hAnsi="Times New Roman"/>
      <w:sz w:val="20"/>
      <w:vertAlign w:val="superscript"/>
    </w:rPr>
  </w:style>
  <w:style w:type="character" w:styleId="CommentReference">
    <w:name w:val="annotation reference"/>
    <w:basedOn w:val="DefaultParagraphFont"/>
    <w:uiPriority w:val="99"/>
    <w:semiHidden/>
    <w:unhideWhenUsed/>
    <w:rsid w:val="003C502E"/>
    <w:rPr>
      <w:sz w:val="16"/>
      <w:szCs w:val="16"/>
    </w:rPr>
  </w:style>
  <w:style w:type="paragraph" w:styleId="CommentText">
    <w:name w:val="annotation text"/>
    <w:basedOn w:val="Normal"/>
    <w:link w:val="CommentTextChar"/>
    <w:uiPriority w:val="99"/>
    <w:unhideWhenUsed/>
    <w:rsid w:val="003C502E"/>
    <w:pPr>
      <w:spacing w:line="240" w:lineRule="auto"/>
    </w:pPr>
    <w:rPr>
      <w:sz w:val="20"/>
      <w:szCs w:val="20"/>
    </w:rPr>
  </w:style>
  <w:style w:type="character" w:customStyle="1" w:styleId="CommentTextChar">
    <w:name w:val="Comment Text Char"/>
    <w:basedOn w:val="DefaultParagraphFont"/>
    <w:link w:val="CommentText"/>
    <w:uiPriority w:val="99"/>
    <w:rsid w:val="003C502E"/>
    <w:rPr>
      <w:sz w:val="20"/>
      <w:szCs w:val="20"/>
    </w:rPr>
  </w:style>
  <w:style w:type="paragraph" w:styleId="CommentSubject">
    <w:name w:val="annotation subject"/>
    <w:basedOn w:val="CommentText"/>
    <w:next w:val="CommentText"/>
    <w:link w:val="CommentSubjectChar"/>
    <w:uiPriority w:val="99"/>
    <w:semiHidden/>
    <w:unhideWhenUsed/>
    <w:rsid w:val="003C502E"/>
    <w:rPr>
      <w:b/>
      <w:bCs/>
    </w:rPr>
  </w:style>
  <w:style w:type="character" w:customStyle="1" w:styleId="CommentSubjectChar">
    <w:name w:val="Comment Subject Char"/>
    <w:basedOn w:val="CommentTextChar"/>
    <w:link w:val="CommentSubject"/>
    <w:uiPriority w:val="99"/>
    <w:semiHidden/>
    <w:rsid w:val="003C502E"/>
    <w:rPr>
      <w:b/>
      <w:bCs/>
      <w:sz w:val="20"/>
      <w:szCs w:val="20"/>
    </w:rPr>
  </w:style>
  <w:style w:type="paragraph" w:styleId="Header">
    <w:name w:val="header"/>
    <w:basedOn w:val="Normal"/>
    <w:link w:val="HeaderChar"/>
    <w:uiPriority w:val="99"/>
    <w:unhideWhenUsed/>
    <w:rsid w:val="00974F88"/>
    <w:pPr>
      <w:tabs>
        <w:tab w:val="center" w:pos="4680"/>
        <w:tab w:val="right" w:pos="9360"/>
      </w:tabs>
      <w:spacing w:after="0" w:line="240" w:lineRule="auto"/>
    </w:pPr>
  </w:style>
  <w:style w:type="character" w:customStyle="1" w:styleId="HeaderChar">
    <w:name w:val="Header Char"/>
    <w:basedOn w:val="DefaultParagraphFont"/>
    <w:link w:val="Header"/>
    <w:uiPriority w:val="99"/>
    <w:rsid w:val="00974F88"/>
  </w:style>
  <w:style w:type="paragraph" w:styleId="Footer">
    <w:name w:val="footer"/>
    <w:basedOn w:val="Normal"/>
    <w:link w:val="FooterChar"/>
    <w:uiPriority w:val="99"/>
    <w:unhideWhenUsed/>
    <w:rsid w:val="00974F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974F88"/>
  </w:style>
  <w:style w:type="paragraph" w:styleId="Revision">
    <w:name w:val="Revision"/>
    <w:hidden/>
    <w:uiPriority w:val="99"/>
    <w:semiHidden/>
    <w:rsid w:val="00D22FAB"/>
    <w:pPr>
      <w:spacing w:after="0" w:line="240" w:lineRule="auto"/>
    </w:pPr>
  </w:style>
  <w:style w:type="paragraph" w:customStyle="1" w:styleId="CROutline1">
    <w:name w:val="CR Outline1"/>
    <w:next w:val="Normal"/>
    <w:qFormat/>
    <w:rsid w:val="00BE3521"/>
    <w:pPr>
      <w:keepNext/>
      <w:numPr>
        <w:numId w:val="19"/>
      </w:numPr>
      <w:tabs>
        <w:tab w:val="left" w:pos="432"/>
      </w:tabs>
      <w:spacing w:after="240" w:line="240" w:lineRule="auto"/>
      <w:jc w:val="center"/>
      <w:outlineLvl w:val="0"/>
    </w:pPr>
    <w:rPr>
      <w:rFonts w:ascii="Times New Roman" w:eastAsia="Times New Roman" w:hAnsi="Times New Roman" w:cs="Times New Roman"/>
      <w:b/>
      <w:sz w:val="24"/>
      <w:szCs w:val="24"/>
    </w:rPr>
  </w:style>
  <w:style w:type="paragraph" w:customStyle="1" w:styleId="CROutline2">
    <w:name w:val="CR Outline2"/>
    <w:next w:val="Normal"/>
    <w:qFormat/>
    <w:rsid w:val="00BE3521"/>
    <w:pPr>
      <w:keepNext/>
      <w:numPr>
        <w:ilvl w:val="1"/>
        <w:numId w:val="19"/>
      </w:numPr>
      <w:spacing w:after="240" w:line="240" w:lineRule="auto"/>
      <w:jc w:val="both"/>
      <w:outlineLvl w:val="1"/>
    </w:pPr>
    <w:rPr>
      <w:rFonts w:ascii="Times New Roman" w:eastAsia="Times New Roman" w:hAnsi="Times New Roman" w:cs="Times New Roman"/>
      <w:b/>
      <w:sz w:val="24"/>
      <w:szCs w:val="24"/>
    </w:rPr>
  </w:style>
  <w:style w:type="paragraph" w:customStyle="1" w:styleId="CROutline3">
    <w:name w:val="CR Outline3"/>
    <w:next w:val="Normal"/>
    <w:rsid w:val="00BE3521"/>
    <w:pPr>
      <w:keepNext/>
      <w:numPr>
        <w:ilvl w:val="2"/>
        <w:numId w:val="19"/>
      </w:numPr>
      <w:tabs>
        <w:tab w:val="left" w:pos="1440"/>
      </w:tabs>
      <w:spacing w:after="240" w:line="240" w:lineRule="auto"/>
      <w:jc w:val="both"/>
      <w:outlineLvl w:val="2"/>
    </w:pPr>
    <w:rPr>
      <w:rFonts w:ascii="Times New Roman" w:eastAsia="Times New Roman" w:hAnsi="Times New Roman" w:cs="Times New Roman"/>
      <w:b/>
      <w:sz w:val="24"/>
      <w:szCs w:val="24"/>
    </w:rPr>
  </w:style>
  <w:style w:type="paragraph" w:customStyle="1" w:styleId="CROutline4">
    <w:name w:val="CR Outline4"/>
    <w:next w:val="Normal"/>
    <w:rsid w:val="00BE3521"/>
    <w:pPr>
      <w:keepNext/>
      <w:numPr>
        <w:ilvl w:val="3"/>
        <w:numId w:val="19"/>
      </w:numPr>
      <w:tabs>
        <w:tab w:val="left" w:pos="2160"/>
      </w:tabs>
      <w:spacing w:after="240" w:line="240" w:lineRule="auto"/>
      <w:jc w:val="both"/>
      <w:outlineLvl w:val="3"/>
    </w:pPr>
    <w:rPr>
      <w:rFonts w:ascii="Times New Roman" w:eastAsia="Times New Roman" w:hAnsi="Times New Roman" w:cs="Times New Roman"/>
      <w:b/>
      <w:sz w:val="24"/>
      <w:szCs w:val="24"/>
    </w:rPr>
  </w:style>
  <w:style w:type="character" w:customStyle="1" w:styleId="Heading1Char">
    <w:name w:val="Heading 1 Char"/>
    <w:basedOn w:val="DefaultParagraphFont"/>
    <w:link w:val="Heading1"/>
    <w:uiPriority w:val="9"/>
    <w:rsid w:val="00A66AC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66AC9"/>
    <w:pPr>
      <w:outlineLvl w:val="9"/>
    </w:pPr>
  </w:style>
  <w:style w:type="paragraph" w:styleId="TOC1">
    <w:name w:val="toc 1"/>
    <w:basedOn w:val="Normal"/>
    <w:next w:val="Normal"/>
    <w:autoRedefine/>
    <w:uiPriority w:val="39"/>
    <w:unhideWhenUsed/>
    <w:rsid w:val="00C60F88"/>
    <w:pPr>
      <w:tabs>
        <w:tab w:val="left" w:pos="720"/>
        <w:tab w:val="right" w:leader="dot" w:pos="9350"/>
      </w:tabs>
      <w:spacing w:after="100"/>
    </w:pPr>
    <w:rPr>
      <w:rFonts w:eastAsiaTheme="minorEastAsia"/>
      <w:noProof/>
    </w:rPr>
  </w:style>
  <w:style w:type="paragraph" w:styleId="TOC2">
    <w:name w:val="toc 2"/>
    <w:basedOn w:val="Normal"/>
    <w:next w:val="Normal"/>
    <w:autoRedefine/>
    <w:uiPriority w:val="39"/>
    <w:unhideWhenUsed/>
    <w:rsid w:val="00C76A5F"/>
    <w:pPr>
      <w:tabs>
        <w:tab w:val="right" w:leader="dot" w:pos="9350"/>
      </w:tabs>
      <w:spacing w:after="100"/>
      <w:ind w:left="720"/>
    </w:pPr>
  </w:style>
  <w:style w:type="paragraph" w:styleId="TOC3">
    <w:name w:val="toc 3"/>
    <w:basedOn w:val="Normal"/>
    <w:next w:val="Normal"/>
    <w:autoRedefine/>
    <w:uiPriority w:val="39"/>
    <w:unhideWhenUsed/>
    <w:rsid w:val="00C76A5F"/>
    <w:pPr>
      <w:tabs>
        <w:tab w:val="left" w:pos="2160"/>
        <w:tab w:val="right" w:leader="dot" w:pos="9350"/>
      </w:tabs>
      <w:spacing w:after="100"/>
      <w:ind w:left="1440"/>
    </w:pPr>
  </w:style>
  <w:style w:type="paragraph" w:styleId="TOC4">
    <w:name w:val="toc 4"/>
    <w:basedOn w:val="Normal"/>
    <w:next w:val="Normal"/>
    <w:autoRedefine/>
    <w:uiPriority w:val="39"/>
    <w:unhideWhenUsed/>
    <w:rsid w:val="00C76A5F"/>
    <w:pPr>
      <w:tabs>
        <w:tab w:val="left" w:pos="2880"/>
        <w:tab w:val="right" w:leader="dot" w:pos="9350"/>
      </w:tabs>
      <w:spacing w:after="100"/>
      <w:ind w:left="2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8784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F085E0-D317-4572-B934-573320E63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5665</Words>
  <Characters>32291</Characters>
  <Application>Microsoft Office Word</Application>
  <DocSecurity>0</DocSecurity>
  <Lines>269</Lines>
  <Paragraphs>75</Paragraphs>
  <ScaleCrop>false</ScaleCrop>
  <Company/>
  <LinksUpToDate>false</LinksUpToDate>
  <CharactersWithSpaces>37881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2021-05-21T19:08:00Z</dcterms:created>
  <dcterms:modified xsi:type="dcterms:W3CDTF">2021-05-21T19:08:00Z</dcterms:modified>
</cp:coreProperties>
</file>